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C5658" w14:textId="77777777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【의견내용】</w:t>
      </w:r>
    </w:p>
    <w:p w14:paraId="51893141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1. 본건 상표등록출원 제40-2022-0051242호의 </w:t>
      </w:r>
      <w:r w:rsidRPr="007B27D9">
        <w:rPr>
          <w:rFonts w:ascii="바탕체" w:eastAsia="바탕체"/>
          <w:b/>
          <w:bCs/>
          <w:kern w:val="0"/>
          <w:sz w:val="24"/>
          <w:szCs w:val="24"/>
        </w:rPr>
        <w:t xml:space="preserve">DEHLER </w:t>
      </w:r>
      <w:r w:rsidRPr="007B27D9">
        <w:rPr>
          <w:rFonts w:ascii="바탕체" w:eastAsia="바탕체"/>
          <w:kern w:val="0"/>
          <w:sz w:val="24"/>
          <w:szCs w:val="24"/>
        </w:rPr>
        <w:t>상표에 대한 의견제출통지서에 대하여 본 출원인은 아래와 같이 의견을 개진합니다.</w:t>
      </w:r>
    </w:p>
    <w:p w14:paraId="173368CD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2A484050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2. 본건 거절이유</w:t>
      </w:r>
    </w:p>
    <w:p w14:paraId="30D80D9D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(1) 본건 거절이유는 본건상표 </w:t>
      </w:r>
      <w:r w:rsidRPr="007B27D9">
        <w:rPr>
          <w:rFonts w:ascii="바탕체" w:eastAsia="바탕체"/>
          <w:b/>
          <w:bCs/>
          <w:kern w:val="0"/>
          <w:sz w:val="24"/>
          <w:szCs w:val="24"/>
        </w:rPr>
        <w:t>DEHLER</w:t>
      </w:r>
      <w:r w:rsidRPr="007B27D9">
        <w:rPr>
          <w:rFonts w:ascii="바탕체" w:eastAsia="바탕체"/>
          <w:kern w:val="0"/>
          <w:sz w:val="24"/>
          <w:szCs w:val="24"/>
        </w:rPr>
        <w:t>가 아래 인용상표 1과 인용상표 2와 유사하다는 것입니다.</w:t>
      </w:r>
    </w:p>
    <w:p w14:paraId="6B8EFDA0" w14:textId="77A4D556" w:rsidR="007B27D9" w:rsidRPr="007B27D9" w:rsidRDefault="007B27D9" w:rsidP="007B27D9">
      <w:pPr>
        <w:wordWrap/>
        <w:adjustRightInd w:val="0"/>
        <w:spacing w:after="0" w:line="672" w:lineRule="auto"/>
        <w:jc w:val="center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703BBCFD" wp14:editId="30243227">
            <wp:extent cx="1323975" cy="132397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D9">
        <w:rPr>
          <w:rFonts w:ascii="바탕체" w:eastAsia="바탕체" w:cs="바탕체"/>
          <w:kern w:val="0"/>
          <w:sz w:val="24"/>
          <w:szCs w:val="24"/>
        </w:rPr>
        <w:t>&lt;본건상표&gt;</w:t>
      </w:r>
    </w:p>
    <w:p w14:paraId="67A4C8CD" w14:textId="1C4EDC6E" w:rsidR="007B27D9" w:rsidRPr="007B27D9" w:rsidRDefault="007B27D9" w:rsidP="007B27D9">
      <w:pPr>
        <w:wordWrap/>
        <w:adjustRightInd w:val="0"/>
        <w:spacing w:after="0" w:line="672" w:lineRule="auto"/>
        <w:jc w:val="center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3ECE2840" wp14:editId="47F8512C">
            <wp:extent cx="1323975" cy="1323975"/>
            <wp:effectExtent l="0" t="0" r="9525" b="9525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D9">
        <w:rPr>
          <w:rFonts w:ascii="바탕체" w:eastAsia="바탕체" w:cs="바탕체"/>
          <w:kern w:val="0"/>
          <w:sz w:val="24"/>
          <w:szCs w:val="24"/>
        </w:rPr>
        <w:t>&lt;인용상표1&gt;</w:t>
      </w:r>
    </w:p>
    <w:p w14:paraId="37B84D0B" w14:textId="54653FEC" w:rsidR="007B27D9" w:rsidRPr="007B27D9" w:rsidRDefault="007B27D9" w:rsidP="007B27D9">
      <w:pPr>
        <w:wordWrap/>
        <w:adjustRightInd w:val="0"/>
        <w:spacing w:after="0" w:line="672" w:lineRule="auto"/>
        <w:jc w:val="center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05EB0049" wp14:editId="4024873F">
            <wp:extent cx="1323975" cy="1323975"/>
            <wp:effectExtent l="0" t="0" r="9525" b="952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D9">
        <w:rPr>
          <w:rFonts w:ascii="바탕체" w:eastAsia="바탕체" w:cs="바탕체"/>
          <w:kern w:val="0"/>
          <w:sz w:val="24"/>
          <w:szCs w:val="24"/>
        </w:rPr>
        <w:t>&lt;인용상표2&gt;</w:t>
      </w:r>
    </w:p>
    <w:p w14:paraId="34708067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5AFACE5A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(2) 즉 본건 상표 </w:t>
      </w:r>
      <w:r w:rsidRPr="007B27D9">
        <w:rPr>
          <w:rFonts w:ascii="바탕체" w:eastAsia="바탕체"/>
          <w:b/>
          <w:bCs/>
          <w:kern w:val="0"/>
          <w:sz w:val="24"/>
          <w:szCs w:val="24"/>
        </w:rPr>
        <w:t>DEHLER</w:t>
      </w:r>
      <w:r w:rsidRPr="007B27D9">
        <w:rPr>
          <w:rFonts w:ascii="바탕체" w:eastAsia="바탕체"/>
          <w:kern w:val="0"/>
          <w:sz w:val="24"/>
          <w:szCs w:val="24"/>
        </w:rPr>
        <w:t>의 호칭이 이들 인용상표1과 인용상표2의 호칭과 유사하다는 것입니다.</w:t>
      </w:r>
    </w:p>
    <w:p w14:paraId="62CB31DA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28446C43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3. 외국어 상표의 호칭을 정하는 기준</w:t>
      </w:r>
    </w:p>
    <w:p w14:paraId="63FA07AD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(1) 판례에 따르면, 상표의 유사 판단에 있어서 외국어로 이루어진 상표의 호칭은 우리나라의 거래자나 수요자의 대부분이 그 외국어를 보고 특별한 어려움 없이 자연스럽게 하는 발음에 의하여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정하여짐이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원칙이고, 우리나라의 거래자나 수요자가 그 외국어 상표를 특정한 한국어로 표기하고 있는 등의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구체적인 사용실태가 인정되는 경우에는 그와 같은 구체적인 사용실태를 고려하여 외국어 상표의 호칭을 정하여야 한다</w:t>
      </w:r>
      <w:r w:rsidRPr="007B27D9">
        <w:rPr>
          <w:rFonts w:ascii="바탕체" w:eastAsia="바탕체"/>
          <w:kern w:val="0"/>
          <w:sz w:val="24"/>
          <w:szCs w:val="24"/>
        </w:rPr>
        <w:t>(대법원 2005. 11. 10. 선고 2004후2093 판결 참조)고 하고 있습니다.</w:t>
      </w:r>
    </w:p>
    <w:p w14:paraId="0A0560AD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0B5A84BF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(2) 이러한 법리에 따라서, 일견 호칭이 유사하게 느껴질 수 있는 아래 건들에 대하여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비유사하다고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판단이 내려졌습니다.</w:t>
      </w:r>
    </w:p>
    <w:p w14:paraId="2AA35A32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57C7FC97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1) 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클래민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 vs GLAMIN </w:t>
      </w:r>
    </w:p>
    <w:p w14:paraId="2E321130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특허심판원 2019. 1. 25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2017원5939 사건</w:t>
      </w:r>
    </w:p>
    <w:p w14:paraId="51CA1A3B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(2017년 상표등록출원 제0014366호 거절결정불복)</w:t>
      </w:r>
    </w:p>
    <w:p w14:paraId="515D2153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7CD44976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클래민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"과 "GLAMIN"의 유사여부에 대하여, 특허심판원은 구체적인 사용실태를 고려하면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GLAMIN의 발음이 "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글래민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"이 아니라 "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글라민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" </w:t>
      </w:r>
      <w:r w:rsidRPr="007B27D9">
        <w:rPr>
          <w:rFonts w:ascii="바탕체" w:eastAsia="바탕체"/>
          <w:kern w:val="0"/>
          <w:sz w:val="24"/>
          <w:szCs w:val="24"/>
        </w:rPr>
        <w:t xml:space="preserve">으로서,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글라민은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클래민과는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비유사하다고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판단하였습니다. (갑 제1호증 특허심판원 2017원5939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심결문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참조)</w:t>
      </w:r>
    </w:p>
    <w:p w14:paraId="77132BAD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357F76C5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2) Parity 패리티 vs FERRETTI</w:t>
      </w:r>
    </w:p>
    <w:p w14:paraId="75FC4532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특허심판원 2021. 7. 12.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2020원1998 사건</w:t>
      </w:r>
    </w:p>
    <w:p w14:paraId="69F78300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lastRenderedPageBreak/>
        <w:t>(2019년 상표등록출원 제119160호 거절결정불복)</w:t>
      </w:r>
    </w:p>
    <w:p w14:paraId="5769904F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07D20377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"Parity 패리티"와 "FERRETTI"의 유사여부에 대하여, 특허심판원은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 "FERRETTI"</w:t>
      </w:r>
      <w:proofErr w:type="gram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가  "</w:t>
      </w:r>
      <w:proofErr w:type="spellStart"/>
      <w:proofErr w:type="gram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페레티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", "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페르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(러)티", "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페레띠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" 등 다양하게 호칭될 수 있지만</w:t>
      </w:r>
      <w:r w:rsidRPr="007B27D9">
        <w:rPr>
          <w:rFonts w:ascii="바탕체" w:eastAsia="바탕체"/>
          <w:kern w:val="0"/>
          <w:sz w:val="24"/>
          <w:szCs w:val="24"/>
        </w:rPr>
        <w:t xml:space="preserve">,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"FERRETTI"의 호칭에 대한 인터넷 검색 등 구체적인 사용실태를 고려하면</w:t>
      </w:r>
      <w:r w:rsidRPr="007B27D9">
        <w:rPr>
          <w:rFonts w:ascii="바탕체" w:eastAsia="바탕체"/>
          <w:kern w:val="0"/>
          <w:sz w:val="24"/>
          <w:szCs w:val="24"/>
        </w:rPr>
        <w:t xml:space="preserve">,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"FERRETTI"의 호칭은 "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페레티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"로서 "Parity 패리티"와 유사한 면이 일부 있지만, 외관과 관념이 달라 전체적으로 거래상 혼동의 염려가 없어 양 상표는 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비유사</w:t>
      </w:r>
      <w:r w:rsidRPr="007B27D9">
        <w:rPr>
          <w:rFonts w:ascii="바탕체" w:eastAsia="바탕체"/>
          <w:kern w:val="0"/>
          <w:sz w:val="24"/>
          <w:szCs w:val="24"/>
        </w:rPr>
        <w:t>하다고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판단하였습니다. (갑 제2호증 특허심판원 2020원1998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심결문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참조)</w:t>
      </w:r>
    </w:p>
    <w:p w14:paraId="1EDB9AC3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69CCFCF6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3) 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페라미플루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 vs 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Feramin</w:t>
      </w:r>
      <w:proofErr w:type="spellEnd"/>
    </w:p>
    <w:p w14:paraId="78114633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특허심판원 2022. 5. 11.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2021원880 사건</w:t>
      </w:r>
    </w:p>
    <w:p w14:paraId="49BF14C1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(2020년 상표등록출원 제154833호 거절결정불복)</w:t>
      </w:r>
    </w:p>
    <w:p w14:paraId="428BFE43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FA63B7E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페라미플루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"와 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Feramin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"의 유사여부에 대하여, 특허심판원은 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Feramin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"의 구체적인 사용실태를 고려하면, 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Feramin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"의 호칭은 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훼라민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으로서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,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lastRenderedPageBreak/>
        <w:t>페라미플루의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요부인 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페라미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"는 인용상표인 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Feramin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"과 유사하지 않다고 판단하였습니다. 즉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인용상표 "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Feramin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"의 발음이 "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페라민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", "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훼라민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"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으로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 다양하게 나올 수 있지만</w:t>
      </w:r>
      <w:r w:rsidRPr="007B27D9">
        <w:rPr>
          <w:rFonts w:ascii="바탕체" w:eastAsia="바탕체"/>
          <w:kern w:val="0"/>
          <w:sz w:val="24"/>
          <w:szCs w:val="24"/>
        </w:rPr>
        <w:t xml:space="preserve"> 의약품에서 Fe-가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훼로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발음되는 구체적인 사용실태를 고려하여, 비유사한 것으로 판단된 것입니다. (갑 제3호증 특허심판원 2021원880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심결문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참조)</w:t>
      </w:r>
    </w:p>
    <w:p w14:paraId="7744FA81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2C4B2DBC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4) 토스토스 vs Tous 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Tous</w:t>
      </w:r>
      <w:proofErr w:type="spellEnd"/>
    </w:p>
    <w:p w14:paraId="5B265D56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특허심판원 2023. 2. 13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2021원2177 사건</w:t>
      </w:r>
    </w:p>
    <w:p w14:paraId="69D7967D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(2020년 상표등록출원 제63937호 거절결정불복)</w:t>
      </w:r>
    </w:p>
    <w:p w14:paraId="0EB528FB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6F1EA6B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아래 두개의 상표에 대하여,</w:t>
      </w:r>
    </w:p>
    <w:p w14:paraId="19BADE6B" w14:textId="7AD98D1E" w:rsidR="007B27D9" w:rsidRPr="007B27D9" w:rsidRDefault="007B27D9" w:rsidP="007B27D9">
      <w:pPr>
        <w:wordWrap/>
        <w:adjustRightInd w:val="0"/>
        <w:spacing w:after="0" w:line="672" w:lineRule="auto"/>
        <w:jc w:val="center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2376AC9D" wp14:editId="2B6FCB5E">
            <wp:extent cx="1323975" cy="1323975"/>
            <wp:effectExtent l="0" t="0" r="9525" b="9525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D9">
        <w:rPr>
          <w:rFonts w:ascii="바탕체" w:eastAsia="바탕체" w:cs="바탕체"/>
          <w:kern w:val="0"/>
          <w:sz w:val="24"/>
          <w:szCs w:val="24"/>
        </w:rPr>
        <w:t>&lt;출원상표&gt;</w:t>
      </w:r>
    </w:p>
    <w:p w14:paraId="30F376A7" w14:textId="49AEBCE4" w:rsidR="007B27D9" w:rsidRPr="007B27D9" w:rsidRDefault="007B27D9" w:rsidP="007B27D9">
      <w:pPr>
        <w:wordWrap/>
        <w:adjustRightInd w:val="0"/>
        <w:spacing w:after="0" w:line="672" w:lineRule="auto"/>
        <w:jc w:val="center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1AC8D070" wp14:editId="71F11B3C">
            <wp:extent cx="1323975" cy="1323975"/>
            <wp:effectExtent l="0" t="0" r="9525" b="952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D9">
        <w:rPr>
          <w:rFonts w:ascii="바탕체" w:eastAsia="바탕체" w:cs="바탕체"/>
          <w:kern w:val="0"/>
          <w:sz w:val="24"/>
          <w:szCs w:val="24"/>
        </w:rPr>
        <w:t>&lt;인용상표&gt;</w:t>
      </w:r>
    </w:p>
    <w:p w14:paraId="071BBEF6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4E79921F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인용상표가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‘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토스토스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’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,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‘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토우즈토우즈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’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,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‘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투스투스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’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, 또는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‘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뚜스뚜스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’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로 다양하게 발음될 수 있지만, </w:t>
      </w:r>
      <w:r w:rsidRPr="007B27D9">
        <w:rPr>
          <w:rFonts w:ascii="바탕체" w:eastAsia="바탕체"/>
          <w:kern w:val="0"/>
          <w:sz w:val="24"/>
          <w:szCs w:val="24"/>
        </w:rPr>
        <w:t xml:space="preserve">구체적인 거래실정을 </w:t>
      </w:r>
      <w:proofErr w:type="gramStart"/>
      <w:r w:rsidRPr="007B27D9">
        <w:rPr>
          <w:rFonts w:ascii="바탕체" w:eastAsia="바탕체"/>
          <w:kern w:val="0"/>
          <w:sz w:val="24"/>
          <w:szCs w:val="24"/>
        </w:rPr>
        <w:t>고려하면 ,</w:t>
      </w:r>
      <w:proofErr w:type="gramEnd"/>
      <w:r w:rsidRPr="007B27D9">
        <w:rPr>
          <w:rFonts w:ascii="바탕체" w:eastAsia="바탕체"/>
          <w:kern w:val="0"/>
          <w:sz w:val="24"/>
          <w:szCs w:val="24"/>
        </w:rPr>
        <w:t xml:space="preserve"> </w:t>
      </w:r>
      <w:r w:rsidRPr="007B27D9">
        <w:rPr>
          <w:rFonts w:ascii="바탕체" w:eastAsia="바탕체"/>
          <w:kern w:val="0"/>
          <w:sz w:val="24"/>
          <w:szCs w:val="24"/>
        </w:rPr>
        <w:t>‘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뚜스뚜스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’</w:t>
      </w:r>
      <w:r w:rsidRPr="007B27D9">
        <w:rPr>
          <w:rFonts w:ascii="바탕체" w:eastAsia="바탕체"/>
          <w:kern w:val="0"/>
          <w:sz w:val="24"/>
          <w:szCs w:val="24"/>
        </w:rPr>
        <w:t>로 호칭되는 것으로서, 양 상표는 유사하지 않다고 판단을 내렸습니다. (갑 제4호증 특허심판원 2021원</w:t>
      </w:r>
      <w:proofErr w:type="gramStart"/>
      <w:r w:rsidRPr="007B27D9">
        <w:rPr>
          <w:rFonts w:ascii="바탕체" w:eastAsia="바탕체"/>
          <w:kern w:val="0"/>
          <w:sz w:val="24"/>
          <w:szCs w:val="24"/>
        </w:rPr>
        <w:t xml:space="preserve">2177 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심결문</w:t>
      </w:r>
      <w:proofErr w:type="spellEnd"/>
      <w:proofErr w:type="gramEnd"/>
      <w:r w:rsidRPr="007B27D9">
        <w:rPr>
          <w:rFonts w:ascii="바탕체" w:eastAsia="바탕체"/>
          <w:kern w:val="0"/>
          <w:sz w:val="24"/>
          <w:szCs w:val="24"/>
        </w:rPr>
        <w:t xml:space="preserve"> 참조)</w:t>
      </w:r>
    </w:p>
    <w:p w14:paraId="28E7964A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77D655B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(3) 이외 위 판결들의 근본이 되는 대법원 2005. 11. 10. 선고 2004후2093 판결을 살펴보면, 대법원은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"ZEUS"와 "ZEISS"의 유사여부</w:t>
      </w:r>
      <w:r w:rsidRPr="007B27D9">
        <w:rPr>
          <w:rFonts w:ascii="바탕체" w:eastAsia="바탕체"/>
          <w:kern w:val="0"/>
          <w:sz w:val="24"/>
          <w:szCs w:val="24"/>
        </w:rPr>
        <w:t xml:space="preserve">가 문제가 되는 사건에서,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"ZEISS"가 "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제이스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", "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자이스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" 등으로 호칭될 수 있음에 대하여, 구체적인 사용실태를 보면 "ZEISS"는 "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자이스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"로 호칭될 것으로서 "ZEUS"와 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비유사하다고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 판단하였습니다.</w:t>
      </w:r>
    </w:p>
    <w:p w14:paraId="00A6310C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2B45CCD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(4) 이와 같이, </w:t>
      </w:r>
      <w:r w:rsidRPr="007B27D9">
        <w:rPr>
          <w:rFonts w:ascii="바탕체" w:eastAsia="바탕체"/>
          <w:b/>
          <w:bCs/>
          <w:kern w:val="0"/>
          <w:sz w:val="24"/>
          <w:szCs w:val="24"/>
        </w:rPr>
        <w:t xml:space="preserve">외국어 상표에 있어서는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임의적으로 가능한 발음을 모두 상정하고 이중 어느 하나와 발음이 비슷할 여지가 있으면 유사하다고 판단하는 것이 아니</w:t>
      </w:r>
      <w:r w:rsidRPr="007B27D9">
        <w:rPr>
          <w:rFonts w:ascii="바탕체" w:eastAsia="바탕체"/>
          <w:kern w:val="0"/>
          <w:sz w:val="24"/>
          <w:szCs w:val="24"/>
          <w:u w:val="single"/>
        </w:rPr>
        <w:t>라</w:t>
      </w:r>
      <w:r w:rsidRPr="007B27D9">
        <w:rPr>
          <w:rFonts w:ascii="바탕체" w:eastAsia="바탕체"/>
          <w:kern w:val="0"/>
          <w:sz w:val="24"/>
          <w:szCs w:val="24"/>
        </w:rPr>
        <w:t xml:space="preserve"> 할 것입니다. 즉 </w:t>
      </w:r>
      <w:r w:rsidRPr="007B27D9">
        <w:rPr>
          <w:rFonts w:ascii="바탕체" w:eastAsia="바탕체"/>
          <w:b/>
          <w:bCs/>
          <w:kern w:val="0"/>
          <w:sz w:val="24"/>
          <w:szCs w:val="24"/>
        </w:rPr>
        <w:t>구체적인 거래실정에 따라 상식적이고 합리적으로 일반수요자가 호칭하게 될 것을 판단</w:t>
      </w:r>
      <w:r w:rsidRPr="007B27D9">
        <w:rPr>
          <w:rFonts w:ascii="바탕체" w:eastAsia="바탕체"/>
          <w:kern w:val="0"/>
          <w:sz w:val="24"/>
          <w:szCs w:val="24"/>
        </w:rPr>
        <w:t xml:space="preserve">하여 이와 비교하여 출처의 </w:t>
      </w:r>
      <w:proofErr w:type="gramStart"/>
      <w:r w:rsidRPr="007B27D9">
        <w:rPr>
          <w:rFonts w:ascii="바탕체" w:eastAsia="바탕체"/>
          <w:kern w:val="0"/>
          <w:sz w:val="24"/>
          <w:szCs w:val="24"/>
        </w:rPr>
        <w:t>오인.혼동여부에</w:t>
      </w:r>
      <w:proofErr w:type="gramEnd"/>
      <w:r w:rsidRPr="007B27D9">
        <w:rPr>
          <w:rFonts w:ascii="바탕체" w:eastAsia="바탕체"/>
          <w:kern w:val="0"/>
          <w:sz w:val="24"/>
          <w:szCs w:val="24"/>
        </w:rPr>
        <w:t xml:space="preserve"> 따라 상표의 유사여부를 판단하여야 할 것입니다.</w:t>
      </w:r>
    </w:p>
    <w:p w14:paraId="5C58C3DE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45F051B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(5) 더불어 판례는 상표의 유사판단에 대하여 아래와 같이 판단기준을 제시하고 있습니다.</w:t>
      </w:r>
    </w:p>
    <w:p w14:paraId="5C53CC27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1) 상표의 유사 여부는 상표의 외관, 호칭, 관념을 일반 수요자나 거래자의 입장에서 전체적, 객관적,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이격적으로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관찰하여 상품의 출처에 관하여 오인. 혼동을 일으킬 우려가 있는지 여부에 의하여 판단하여야 한다. 외관.호칭.관념 중 서로 다른 부분이 있더라도 어느 하나가 유사하여 일반 수요자나 거래자가 </w:t>
      </w:r>
      <w:proofErr w:type="gramStart"/>
      <w:r w:rsidRPr="007B27D9">
        <w:rPr>
          <w:rFonts w:ascii="바탕체" w:eastAsia="바탕체"/>
          <w:kern w:val="0"/>
          <w:sz w:val="24"/>
          <w:szCs w:val="24"/>
        </w:rPr>
        <w:t>오인.혼동하기</w:t>
      </w:r>
      <w:proofErr w:type="gramEnd"/>
      <w:r w:rsidRPr="007B27D9">
        <w:rPr>
          <w:rFonts w:ascii="바탕체" w:eastAsia="바탕체"/>
          <w:kern w:val="0"/>
          <w:sz w:val="24"/>
          <w:szCs w:val="24"/>
        </w:rPr>
        <w:t xml:space="preserve"> 쉬운 경우에는 유사상표라고 보아야 할 것이나,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어느 하나가 유사하다 하더라도 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전체로서의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 상표가 일반 수요자나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lastRenderedPageBreak/>
        <w:t>거래자가 상표에 대하여 느끼는 직관적 인식을 기준으로 하여 명확히 출처의 오인.혼동을 피할 수 있는 경우에는 유사한 것이라고 할 수 없다.</w:t>
      </w:r>
      <w:r w:rsidRPr="007B27D9">
        <w:rPr>
          <w:rFonts w:ascii="바탕체" w:eastAsia="바탕체"/>
          <w:kern w:val="0"/>
          <w:sz w:val="24"/>
          <w:szCs w:val="24"/>
        </w:rPr>
        <w:t xml:space="preserve"> (대법원 2020. 4. 29. 선고 2019후11121 판결 참조). </w:t>
      </w:r>
    </w:p>
    <w:p w14:paraId="15CBCADD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2) 한편 둘 이상의 문자 또는 도형의 조합으로 이루어진 결합상표는 그 구성 부분 전체의 외관, 호칭, 관념을 기준으로 상표의 유사 여부를 판단하는 것이 원칙이나, 상표 중에서 일반 수요자에게 그 상표에 관한 인상을 심어주거나 </w:t>
      </w:r>
      <w:proofErr w:type="gramStart"/>
      <w:r w:rsidRPr="007B27D9">
        <w:rPr>
          <w:rFonts w:ascii="바탕체" w:eastAsia="바탕체"/>
          <w:kern w:val="0"/>
          <w:sz w:val="24"/>
          <w:szCs w:val="24"/>
        </w:rPr>
        <w:t>기억.연상을</w:t>
      </w:r>
      <w:proofErr w:type="gramEnd"/>
      <w:r w:rsidRPr="007B27D9">
        <w:rPr>
          <w:rFonts w:ascii="바탕체" w:eastAsia="바탕체"/>
          <w:kern w:val="0"/>
          <w:sz w:val="24"/>
          <w:szCs w:val="24"/>
        </w:rPr>
        <w:t xml:space="preserve"> 하게 함으로써 그 부분만으로 독립하여 상품의 출처표시기능을 수행하는 부분, 즉 요부가 있는 경우 적절한 전체관찰의 결론을 유도하기 위해서는 요부를 가지고 상표의 유사 여부를 대비.판단하는 것이 필요하다(대법원 2017. 2. 9. 선고 2015후1690 판결 참조).</w:t>
      </w:r>
    </w:p>
    <w:p w14:paraId="463239D4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3) 나아가 앞서 본 유사 판단 법리에 따라 구체적으로 상표의 유사로 수요자가 상품의 출처에 관하여 </w:t>
      </w:r>
      <w:proofErr w:type="gramStart"/>
      <w:r w:rsidRPr="007B27D9">
        <w:rPr>
          <w:rFonts w:ascii="바탕체" w:eastAsia="바탕체"/>
          <w:kern w:val="0"/>
          <w:sz w:val="24"/>
          <w:szCs w:val="24"/>
        </w:rPr>
        <w:t>오인.혼동을</w:t>
      </w:r>
      <w:proofErr w:type="gramEnd"/>
      <w:r w:rsidRPr="007B27D9">
        <w:rPr>
          <w:rFonts w:ascii="바탕체" w:eastAsia="바탕체"/>
          <w:kern w:val="0"/>
          <w:sz w:val="24"/>
          <w:szCs w:val="24"/>
        </w:rPr>
        <w:t xml:space="preserve"> 일으킬 우려가 있는지 여부를 판단함에 있어서는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해당 지정상품을 둘러싼 거래실정도 고려하여야 한다.</w:t>
      </w:r>
      <w:r w:rsidRPr="007B27D9">
        <w:rPr>
          <w:rFonts w:ascii="바탕체" w:eastAsia="바탕체"/>
          <w:kern w:val="0"/>
          <w:sz w:val="24"/>
          <w:szCs w:val="24"/>
        </w:rPr>
        <w:t xml:space="preserve"> 이에 따라 종래 전화 등 음성매체를 통하여 지정상품을 광고하거나 주문하는 일이 빈번한 경우에는 호칭을 외관, 관념보다 중요한 요소로 평가하여 왔는데(대법원 </w:t>
      </w:r>
      <w:r w:rsidRPr="007B27D9">
        <w:rPr>
          <w:rFonts w:ascii="바탕체" w:eastAsia="바탕체"/>
          <w:kern w:val="0"/>
          <w:sz w:val="24"/>
          <w:szCs w:val="24"/>
        </w:rPr>
        <w:lastRenderedPageBreak/>
        <w:t xml:space="preserve">1996. 9. 6. 선고 96후344 판결, 대법원 2000. 2. 25. 선고 97후3050 판결 등 참조),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오늘날 인터넷의 광범위한 보급과 스마트폰, 태블릿 피씨, 노트북 등 시청각 매체를 통한 광고나 상품판매 및 상품주문이 비약적으로 증가하고 있는 점을 고려하면, 도형상표 또는 문자 부분과 도형 부분의 조합으로 이루어진 결합상표의 유사 여부를 판단함에 있어서는 호칭 못지않게 외관도 중요한요소로 평가하여야 할 것이다.</w:t>
      </w:r>
      <w:r w:rsidRPr="007B27D9">
        <w:rPr>
          <w:rFonts w:ascii="바탕체" w:eastAsia="바탕체"/>
          <w:b/>
          <w:bCs/>
          <w:kern w:val="0"/>
          <w:sz w:val="24"/>
          <w:szCs w:val="24"/>
        </w:rPr>
        <w:t xml:space="preserve"> </w:t>
      </w:r>
      <w:r w:rsidRPr="007B27D9">
        <w:rPr>
          <w:rFonts w:ascii="바탕체" w:eastAsia="바탕체"/>
          <w:kern w:val="0"/>
          <w:sz w:val="24"/>
          <w:szCs w:val="24"/>
        </w:rPr>
        <w:t>(특허법원 2021. 5. 13. 선고 2020허3720 판결 등)</w:t>
      </w:r>
    </w:p>
    <w:p w14:paraId="0FE1670A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53AA91F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4) 이러한 판단기준에 따라, 아래의 사건들에 대하여 판례는 </w:t>
      </w:r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비록 호칭이 동일하거나 유사하지만, 결과적으로 이들 상표들은 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서로간에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 유사하지 않다고 판단</w:t>
      </w:r>
      <w:r w:rsidRPr="007B27D9">
        <w:rPr>
          <w:rFonts w:ascii="바탕체" w:eastAsia="바탕체"/>
          <w:kern w:val="0"/>
          <w:sz w:val="24"/>
          <w:szCs w:val="24"/>
        </w:rPr>
        <w:t xml:space="preserve">하였습니다. </w:t>
      </w:r>
    </w:p>
    <w:p w14:paraId="4676F6D5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CE82AC9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b/>
          <w:bCs/>
          <w:kern w:val="0"/>
          <w:sz w:val="24"/>
          <w:szCs w:val="24"/>
        </w:rPr>
        <w:t xml:space="preserve">이들 판결문과 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</w:rPr>
        <w:t>심결문들을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</w:rPr>
        <w:t xml:space="preserve"> (갑) 제5호증부터 (갑)제10호증으로 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</w:rPr>
        <w:t>첨부하오니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</w:rPr>
        <w:t xml:space="preserve">, 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주의깊게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 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읽어주시기를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 xml:space="preserve"> </w:t>
      </w:r>
      <w:proofErr w:type="spellStart"/>
      <w:r w:rsidRPr="007B27D9">
        <w:rPr>
          <w:rFonts w:ascii="바탕체" w:eastAsia="바탕체"/>
          <w:b/>
          <w:bCs/>
          <w:kern w:val="0"/>
          <w:sz w:val="24"/>
          <w:szCs w:val="24"/>
          <w:u w:val="single"/>
        </w:rPr>
        <w:t>간청</w:t>
      </w:r>
      <w:r w:rsidRPr="007B27D9">
        <w:rPr>
          <w:rFonts w:ascii="바탕체" w:eastAsia="바탕체"/>
          <w:b/>
          <w:bCs/>
          <w:kern w:val="0"/>
          <w:sz w:val="24"/>
          <w:szCs w:val="24"/>
        </w:rPr>
        <w:t>드립니다</w:t>
      </w:r>
      <w:proofErr w:type="spellEnd"/>
      <w:r w:rsidRPr="007B27D9">
        <w:rPr>
          <w:rFonts w:ascii="바탕체" w:eastAsia="바탕체"/>
          <w:b/>
          <w:bCs/>
          <w:kern w:val="0"/>
          <w:sz w:val="24"/>
          <w:szCs w:val="24"/>
        </w:rPr>
        <w:t>.</w:t>
      </w:r>
    </w:p>
    <w:p w14:paraId="51BE3FF4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AA852CE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①</w:t>
      </w:r>
      <w:r w:rsidRPr="007B27D9">
        <w:rPr>
          <w:rFonts w:ascii="바탕체" w:eastAsia="바탕체"/>
          <w:kern w:val="0"/>
          <w:sz w:val="24"/>
          <w:szCs w:val="24"/>
        </w:rPr>
        <w:t xml:space="preserve"> 특허법원 2020허3720판결: (갑) 제5호증</w:t>
      </w:r>
    </w:p>
    <w:tbl>
      <w:tblPr>
        <w:tblW w:w="0" w:type="auto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69"/>
        <w:gridCol w:w="4769"/>
      </w:tblGrid>
      <w:tr w:rsidR="007B27D9" w:rsidRPr="007B27D9" w14:paraId="39CA026D" w14:textId="77777777">
        <w:tblPrEx>
          <w:tblCellMar>
            <w:top w:w="0" w:type="dxa"/>
            <w:bottom w:w="0" w:type="dxa"/>
          </w:tblCellMar>
        </w:tblPrEx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D502C" w14:textId="77777777" w:rsidR="007B27D9" w:rsidRPr="007B27D9" w:rsidRDefault="007B27D9" w:rsidP="007B27D9">
            <w:pPr>
              <w:wordWrap/>
              <w:adjustRightInd w:val="0"/>
              <w:spacing w:after="0" w:line="312" w:lineRule="auto"/>
              <w:rPr>
                <w:rFonts w:ascii="바탕체" w:eastAsia="바탕체"/>
                <w:kern w:val="0"/>
                <w:szCs w:val="20"/>
              </w:rPr>
            </w:pPr>
          </w:p>
          <w:p w14:paraId="40798FAF" w14:textId="74499EA7" w:rsidR="007B27D9" w:rsidRPr="007B27D9" w:rsidRDefault="007B27D9" w:rsidP="007B27D9">
            <w:pPr>
              <w:wordWrap/>
              <w:adjustRightInd w:val="0"/>
              <w:spacing w:after="0" w:line="312" w:lineRule="auto"/>
              <w:jc w:val="left"/>
              <w:rPr>
                <w:rFonts w:ascii="바탕체" w:eastAsia="바탕체" w:cs="바탕체"/>
                <w:kern w:val="0"/>
                <w:szCs w:val="20"/>
              </w:rPr>
            </w:pPr>
            <w:r w:rsidRPr="007B27D9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24F12484" wp14:editId="2C91E6A2">
                  <wp:extent cx="2581275" cy="1666875"/>
                  <wp:effectExtent l="0" t="0" r="9525" b="9525"/>
                  <wp:docPr id="53" name="그림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A1567" w14:textId="77777777" w:rsidR="007B27D9" w:rsidRPr="007B27D9" w:rsidRDefault="007B27D9" w:rsidP="007B27D9">
            <w:pPr>
              <w:wordWrap/>
              <w:adjustRightInd w:val="0"/>
              <w:spacing w:after="0" w:line="312" w:lineRule="auto"/>
              <w:jc w:val="left"/>
              <w:rPr>
                <w:rFonts w:ascii="바탕체" w:eastAsia="바탕체" w:cs="바탕체"/>
                <w:kern w:val="0"/>
                <w:sz w:val="24"/>
                <w:szCs w:val="24"/>
              </w:rPr>
            </w:pP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3C850" w14:textId="77777777" w:rsidR="007B27D9" w:rsidRPr="007B27D9" w:rsidRDefault="007B27D9" w:rsidP="007B27D9">
            <w:pPr>
              <w:wordWrap/>
              <w:adjustRightInd w:val="0"/>
              <w:spacing w:after="0" w:line="312" w:lineRule="auto"/>
              <w:rPr>
                <w:rFonts w:ascii="바탕체" w:eastAsia="바탕체" w:cs="바탕체"/>
                <w:kern w:val="0"/>
                <w:szCs w:val="20"/>
              </w:rPr>
            </w:pPr>
          </w:p>
          <w:p w14:paraId="4D08923C" w14:textId="77777777" w:rsidR="007B27D9" w:rsidRPr="007B27D9" w:rsidRDefault="007B27D9" w:rsidP="007B27D9">
            <w:pPr>
              <w:wordWrap/>
              <w:adjustRightInd w:val="0"/>
              <w:spacing w:after="0" w:line="312" w:lineRule="auto"/>
              <w:jc w:val="left"/>
              <w:rPr>
                <w:rFonts w:ascii="바탕체" w:eastAsia="바탕체"/>
                <w:kern w:val="0"/>
                <w:szCs w:val="20"/>
              </w:rPr>
            </w:pPr>
          </w:p>
          <w:p w14:paraId="5CDED439" w14:textId="77777777" w:rsidR="007B27D9" w:rsidRPr="007B27D9" w:rsidRDefault="007B27D9" w:rsidP="007B27D9">
            <w:pPr>
              <w:wordWrap/>
              <w:adjustRightInd w:val="0"/>
              <w:spacing w:after="0" w:line="312" w:lineRule="auto"/>
              <w:jc w:val="left"/>
              <w:rPr>
                <w:rFonts w:ascii="바탕체" w:eastAsia="바탕체"/>
                <w:kern w:val="0"/>
                <w:szCs w:val="20"/>
              </w:rPr>
            </w:pPr>
          </w:p>
          <w:p w14:paraId="6B807309" w14:textId="367F04CE" w:rsidR="007B27D9" w:rsidRPr="007B27D9" w:rsidRDefault="007B27D9" w:rsidP="007B27D9">
            <w:pPr>
              <w:wordWrap/>
              <w:adjustRightInd w:val="0"/>
              <w:spacing w:after="0" w:line="312" w:lineRule="auto"/>
              <w:jc w:val="left"/>
              <w:rPr>
                <w:rFonts w:ascii="바탕체" w:eastAsia="바탕체" w:cs="바탕체"/>
                <w:kern w:val="0"/>
                <w:szCs w:val="20"/>
              </w:rPr>
            </w:pPr>
            <w:r w:rsidRPr="007B27D9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5212AEE6" wp14:editId="7A15EF01">
                  <wp:extent cx="2905125" cy="1057275"/>
                  <wp:effectExtent l="0" t="0" r="9525" b="9525"/>
                  <wp:docPr id="52" name="그림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BE7A4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kern w:val="0"/>
          <w:sz w:val="24"/>
          <w:szCs w:val="24"/>
        </w:rPr>
        <w:t>②</w:t>
      </w:r>
      <w:r w:rsidRPr="007B27D9">
        <w:rPr>
          <w:rFonts w:ascii="바탕체" w:eastAsia="바탕체" w:cs="바탕체"/>
          <w:kern w:val="0"/>
          <w:sz w:val="24"/>
          <w:szCs w:val="24"/>
        </w:rPr>
        <w:t xml:space="preserve"> 특허심판원 2021당1388 </w:t>
      </w:r>
      <w:proofErr w:type="spellStart"/>
      <w:r w:rsidRPr="007B27D9">
        <w:rPr>
          <w:rFonts w:ascii="바탕체" w:eastAsia="바탕체" w:cs="바탕체"/>
          <w:kern w:val="0"/>
          <w:sz w:val="24"/>
          <w:szCs w:val="24"/>
        </w:rPr>
        <w:t>심결</w:t>
      </w:r>
      <w:proofErr w:type="spellEnd"/>
      <w:r w:rsidRPr="007B27D9">
        <w:rPr>
          <w:rFonts w:ascii="바탕체" w:eastAsia="바탕체" w:cs="바탕체"/>
          <w:kern w:val="0"/>
          <w:sz w:val="24"/>
          <w:szCs w:val="24"/>
        </w:rPr>
        <w:t>: (갑) 제6호증</w:t>
      </w:r>
    </w:p>
    <w:tbl>
      <w:tblPr>
        <w:tblW w:w="0" w:type="auto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69"/>
        <w:gridCol w:w="4769"/>
      </w:tblGrid>
      <w:tr w:rsidR="007B27D9" w:rsidRPr="007B27D9" w14:paraId="69B0C5EB" w14:textId="77777777">
        <w:tblPrEx>
          <w:tblCellMar>
            <w:top w:w="0" w:type="dxa"/>
            <w:bottom w:w="0" w:type="dxa"/>
          </w:tblCellMar>
        </w:tblPrEx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824276" w14:textId="057BCC49" w:rsidR="007B27D9" w:rsidRPr="007B27D9" w:rsidRDefault="007B27D9" w:rsidP="007B27D9">
            <w:pPr>
              <w:wordWrap/>
              <w:adjustRightInd w:val="0"/>
              <w:spacing w:after="0" w:line="312" w:lineRule="auto"/>
              <w:rPr>
                <w:rFonts w:ascii="바탕체" w:eastAsia="바탕체" w:cs="바탕체"/>
                <w:kern w:val="0"/>
                <w:szCs w:val="20"/>
              </w:rPr>
            </w:pPr>
            <w:r w:rsidRPr="007B27D9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31CC8A51" wp14:editId="28FCCE1C">
                  <wp:extent cx="2905125" cy="1152525"/>
                  <wp:effectExtent l="0" t="0" r="9525" b="9525"/>
                  <wp:docPr id="51" name="그림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C9871" w14:textId="5F166DF2" w:rsidR="007B27D9" w:rsidRPr="007B27D9" w:rsidRDefault="007B27D9" w:rsidP="007B27D9">
            <w:pPr>
              <w:wordWrap/>
              <w:adjustRightInd w:val="0"/>
              <w:spacing w:after="0" w:line="312" w:lineRule="auto"/>
              <w:rPr>
                <w:rFonts w:ascii="바탕체" w:eastAsia="바탕체" w:cs="바탕체"/>
                <w:kern w:val="0"/>
                <w:szCs w:val="20"/>
              </w:rPr>
            </w:pPr>
            <w:r w:rsidRPr="007B27D9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0EE31A53" wp14:editId="0999747C">
                  <wp:extent cx="2905125" cy="942975"/>
                  <wp:effectExtent l="0" t="0" r="9525" b="9525"/>
                  <wp:docPr id="50" name="그림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A5C248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③</w:t>
      </w:r>
      <w:r w:rsidRPr="007B27D9">
        <w:rPr>
          <w:rFonts w:ascii="바탕체" w:eastAsia="바탕체"/>
          <w:kern w:val="0"/>
          <w:sz w:val="24"/>
          <w:szCs w:val="24"/>
        </w:rPr>
        <w:t xml:space="preserve"> 특허심판원 2021원1323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: (갑) 제7호증</w:t>
      </w:r>
    </w:p>
    <w:tbl>
      <w:tblPr>
        <w:tblW w:w="0" w:type="auto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69"/>
        <w:gridCol w:w="4769"/>
      </w:tblGrid>
      <w:tr w:rsidR="007B27D9" w:rsidRPr="007B27D9" w14:paraId="6DACA9DF" w14:textId="77777777">
        <w:tblPrEx>
          <w:tblCellMar>
            <w:top w:w="0" w:type="dxa"/>
            <w:bottom w:w="0" w:type="dxa"/>
          </w:tblCellMar>
        </w:tblPrEx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B22F1" w14:textId="5E2257DE" w:rsidR="007B27D9" w:rsidRPr="007B27D9" w:rsidRDefault="007B27D9" w:rsidP="007B27D9">
            <w:pPr>
              <w:wordWrap/>
              <w:adjustRightInd w:val="0"/>
              <w:spacing w:after="0" w:line="312" w:lineRule="auto"/>
              <w:rPr>
                <w:rFonts w:ascii="바탕체" w:eastAsia="바탕체" w:cs="바탕체"/>
                <w:kern w:val="0"/>
                <w:szCs w:val="20"/>
              </w:rPr>
            </w:pPr>
            <w:r w:rsidRPr="007B27D9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39758DE9" wp14:editId="13772DBD">
                  <wp:extent cx="1971675" cy="1447800"/>
                  <wp:effectExtent l="0" t="0" r="9525" b="0"/>
                  <wp:docPr id="49" name="그림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848C5" w14:textId="04861BAE" w:rsidR="007B27D9" w:rsidRPr="007B27D9" w:rsidRDefault="007B27D9" w:rsidP="007B27D9">
            <w:pPr>
              <w:wordWrap/>
              <w:adjustRightInd w:val="0"/>
              <w:spacing w:after="0" w:line="312" w:lineRule="auto"/>
              <w:rPr>
                <w:rFonts w:ascii="바탕체" w:eastAsia="바탕체" w:cs="바탕체"/>
                <w:kern w:val="0"/>
                <w:szCs w:val="20"/>
              </w:rPr>
            </w:pPr>
            <w:r w:rsidRPr="007B27D9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6DD2007A" wp14:editId="095B0972">
                  <wp:extent cx="1990725" cy="1247775"/>
                  <wp:effectExtent l="0" t="0" r="9525" b="9525"/>
                  <wp:docPr id="48" name="그림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FDB70B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④</w:t>
      </w:r>
      <w:r w:rsidRPr="007B27D9">
        <w:rPr>
          <w:rFonts w:ascii="바탕체" w:eastAsia="바탕체"/>
          <w:kern w:val="0"/>
          <w:sz w:val="24"/>
          <w:szCs w:val="24"/>
        </w:rPr>
        <w:t xml:space="preserve"> 특허심판원 2021원1410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: (갑) 제8호증</w:t>
      </w:r>
    </w:p>
    <w:tbl>
      <w:tblPr>
        <w:tblW w:w="0" w:type="auto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69"/>
        <w:gridCol w:w="4769"/>
      </w:tblGrid>
      <w:tr w:rsidR="007B27D9" w:rsidRPr="007B27D9" w14:paraId="503F6A6F" w14:textId="77777777">
        <w:tblPrEx>
          <w:tblCellMar>
            <w:top w:w="0" w:type="dxa"/>
            <w:bottom w:w="0" w:type="dxa"/>
          </w:tblCellMar>
        </w:tblPrEx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3CB2F" w14:textId="5F029769" w:rsidR="007B27D9" w:rsidRPr="007B27D9" w:rsidRDefault="007B27D9" w:rsidP="007B27D9">
            <w:pPr>
              <w:wordWrap/>
              <w:adjustRightInd w:val="0"/>
              <w:spacing w:after="0" w:line="312" w:lineRule="auto"/>
              <w:rPr>
                <w:rFonts w:ascii="바탕체" w:eastAsia="바탕체" w:cs="바탕체"/>
                <w:kern w:val="0"/>
                <w:szCs w:val="20"/>
              </w:rPr>
            </w:pPr>
            <w:r w:rsidRPr="007B27D9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2C694A8C" wp14:editId="706EA025">
                  <wp:extent cx="1857375" cy="1381125"/>
                  <wp:effectExtent l="0" t="0" r="9525" b="9525"/>
                  <wp:docPr id="47" name="그림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687AB" w14:textId="097CED09" w:rsidR="007B27D9" w:rsidRPr="007B27D9" w:rsidRDefault="007B27D9" w:rsidP="007B27D9">
            <w:pPr>
              <w:wordWrap/>
              <w:adjustRightInd w:val="0"/>
              <w:spacing w:after="0" w:line="312" w:lineRule="auto"/>
              <w:rPr>
                <w:rFonts w:ascii="바탕체" w:eastAsia="바탕체" w:cs="바탕체"/>
                <w:kern w:val="0"/>
                <w:szCs w:val="20"/>
              </w:rPr>
            </w:pPr>
            <w:r w:rsidRPr="007B27D9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5E5DAB02" wp14:editId="6287A976">
                  <wp:extent cx="1447800" cy="1362075"/>
                  <wp:effectExtent l="0" t="0" r="0" b="9525"/>
                  <wp:docPr id="46" name="그림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310D2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lastRenderedPageBreak/>
        <w:t>⑤</w:t>
      </w:r>
      <w:r w:rsidRPr="007B27D9">
        <w:rPr>
          <w:rFonts w:ascii="바탕체" w:eastAsia="바탕체"/>
          <w:kern w:val="0"/>
          <w:sz w:val="24"/>
          <w:szCs w:val="24"/>
        </w:rPr>
        <w:t xml:space="preserve"> 특허심판원 2020원2678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: (갑) 제9호증</w:t>
      </w:r>
    </w:p>
    <w:p w14:paraId="410922BA" w14:textId="572E363B" w:rsidR="007B27D9" w:rsidRPr="007B27D9" w:rsidRDefault="007B27D9" w:rsidP="007B27D9">
      <w:pPr>
        <w:wordWrap/>
        <w:adjustRightInd w:val="0"/>
        <w:spacing w:after="0" w:line="672" w:lineRule="auto"/>
        <w:ind w:firstLine="800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4A7656E0" wp14:editId="4F5A52FB">
            <wp:extent cx="5731510" cy="1080135"/>
            <wp:effectExtent l="0" t="0" r="2540" b="571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61CA1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kern w:val="0"/>
          <w:sz w:val="24"/>
          <w:szCs w:val="24"/>
        </w:rPr>
        <w:t>⑥</w:t>
      </w:r>
      <w:r w:rsidRPr="007B27D9">
        <w:rPr>
          <w:rFonts w:ascii="바탕체" w:eastAsia="바탕체" w:cs="바탕체"/>
          <w:kern w:val="0"/>
          <w:sz w:val="24"/>
          <w:szCs w:val="24"/>
        </w:rPr>
        <w:t xml:space="preserve"> 특허심판원 2022당2374 </w:t>
      </w:r>
      <w:proofErr w:type="spellStart"/>
      <w:r w:rsidRPr="007B27D9">
        <w:rPr>
          <w:rFonts w:ascii="바탕체" w:eastAsia="바탕체" w:cs="바탕체"/>
          <w:kern w:val="0"/>
          <w:sz w:val="24"/>
          <w:szCs w:val="24"/>
        </w:rPr>
        <w:t>심결</w:t>
      </w:r>
      <w:proofErr w:type="spellEnd"/>
      <w:r w:rsidRPr="007B27D9">
        <w:rPr>
          <w:rFonts w:ascii="바탕체" w:eastAsia="바탕체" w:cs="바탕체"/>
          <w:kern w:val="0"/>
          <w:sz w:val="24"/>
          <w:szCs w:val="24"/>
        </w:rPr>
        <w:t>: (갑) 제10호증</w:t>
      </w:r>
    </w:p>
    <w:tbl>
      <w:tblPr>
        <w:tblW w:w="0" w:type="auto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69"/>
        <w:gridCol w:w="4769"/>
      </w:tblGrid>
      <w:tr w:rsidR="007B27D9" w:rsidRPr="007B27D9" w14:paraId="513D2EB4" w14:textId="77777777">
        <w:tblPrEx>
          <w:tblCellMar>
            <w:top w:w="0" w:type="dxa"/>
            <w:bottom w:w="0" w:type="dxa"/>
          </w:tblCellMar>
        </w:tblPrEx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504E9" w14:textId="77777777" w:rsidR="007B27D9" w:rsidRPr="007B27D9" w:rsidRDefault="007B27D9" w:rsidP="007B27D9">
            <w:pPr>
              <w:wordWrap/>
              <w:adjustRightInd w:val="0"/>
              <w:spacing w:after="0" w:line="312" w:lineRule="auto"/>
              <w:rPr>
                <w:rFonts w:ascii="바탕체" w:eastAsia="바탕체" w:cs="바탕체"/>
                <w:kern w:val="0"/>
                <w:szCs w:val="20"/>
              </w:rPr>
            </w:pPr>
          </w:p>
          <w:p w14:paraId="059A2FDF" w14:textId="77777777" w:rsidR="007B27D9" w:rsidRPr="007B27D9" w:rsidRDefault="007B27D9" w:rsidP="007B27D9">
            <w:pPr>
              <w:wordWrap/>
              <w:adjustRightInd w:val="0"/>
              <w:spacing w:after="0" w:line="312" w:lineRule="auto"/>
              <w:jc w:val="left"/>
              <w:rPr>
                <w:rFonts w:ascii="바탕체" w:eastAsia="바탕체"/>
                <w:kern w:val="0"/>
                <w:szCs w:val="20"/>
              </w:rPr>
            </w:pPr>
          </w:p>
          <w:p w14:paraId="072B2D98" w14:textId="43ED5A77" w:rsidR="007B27D9" w:rsidRPr="007B27D9" w:rsidRDefault="007B27D9" w:rsidP="007B27D9">
            <w:pPr>
              <w:wordWrap/>
              <w:adjustRightInd w:val="0"/>
              <w:spacing w:after="0" w:line="312" w:lineRule="auto"/>
              <w:jc w:val="left"/>
              <w:rPr>
                <w:rFonts w:ascii="바탕체" w:eastAsia="바탕체" w:cs="바탕체"/>
                <w:kern w:val="0"/>
                <w:szCs w:val="20"/>
              </w:rPr>
            </w:pPr>
            <w:r w:rsidRPr="007B27D9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38EF9F79" wp14:editId="33043837">
                  <wp:extent cx="2057400" cy="1152525"/>
                  <wp:effectExtent l="0" t="0" r="0" b="9525"/>
                  <wp:docPr id="44" name="그림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0E0CF" w14:textId="1CF9AF86" w:rsidR="007B27D9" w:rsidRPr="007B27D9" w:rsidRDefault="007B27D9" w:rsidP="007B27D9">
            <w:pPr>
              <w:wordWrap/>
              <w:adjustRightInd w:val="0"/>
              <w:spacing w:after="0" w:line="312" w:lineRule="auto"/>
              <w:rPr>
                <w:rFonts w:ascii="바탕체" w:eastAsia="바탕체" w:cs="바탕체"/>
                <w:kern w:val="0"/>
                <w:szCs w:val="20"/>
              </w:rPr>
            </w:pPr>
            <w:r w:rsidRPr="007B27D9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5BC5C577" wp14:editId="6764B17B">
                  <wp:extent cx="2809875" cy="1790700"/>
                  <wp:effectExtent l="0" t="0" r="9525" b="0"/>
                  <wp:docPr id="43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359080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28F54190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4. 본건 상표와 인용상표의 호칭</w:t>
      </w:r>
    </w:p>
    <w:p w14:paraId="63E0FA97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(1) 본건 출원상표 </w:t>
      </w:r>
      <w:r w:rsidRPr="007B27D9">
        <w:rPr>
          <w:rFonts w:ascii="바탕체" w:eastAsia="바탕체"/>
          <w:b/>
          <w:bCs/>
          <w:kern w:val="0"/>
          <w:sz w:val="24"/>
          <w:szCs w:val="24"/>
        </w:rPr>
        <w:t>DEHLER</w:t>
      </w:r>
      <w:r w:rsidRPr="007B27D9">
        <w:rPr>
          <w:rFonts w:ascii="바탕체" w:eastAsia="바탕체"/>
          <w:kern w:val="0"/>
          <w:sz w:val="24"/>
          <w:szCs w:val="24"/>
        </w:rPr>
        <w:t>의 호칭</w:t>
      </w:r>
    </w:p>
    <w:p w14:paraId="48FA656C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1)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위키피디어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백과사전을 찾아보면, 아래와 같이, </w:t>
      </w:r>
      <w:r w:rsidRPr="007B27D9">
        <w:rPr>
          <w:rFonts w:ascii="바탕체" w:eastAsia="바탕체"/>
          <w:b/>
          <w:bCs/>
          <w:kern w:val="0"/>
          <w:sz w:val="24"/>
          <w:szCs w:val="24"/>
        </w:rPr>
        <w:t>DEHLER</w:t>
      </w:r>
      <w:r w:rsidRPr="007B27D9">
        <w:rPr>
          <w:rFonts w:ascii="바탕체" w:eastAsia="바탕체"/>
          <w:kern w:val="0"/>
          <w:sz w:val="24"/>
          <w:szCs w:val="24"/>
        </w:rPr>
        <w:t>는 성(surname)으로서, 유명한 인물로는 Robert Dehler, Steve Dehler, Steven Dehler와 Thomas Dehler가 언급되고 있습니다.</w:t>
      </w:r>
    </w:p>
    <w:p w14:paraId="4911AFA8" w14:textId="34F858BF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4D353E45" wp14:editId="00180805">
            <wp:extent cx="5731510" cy="2814955"/>
            <wp:effectExtent l="0" t="0" r="2540" b="444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AE8D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 w:cs="바탕체"/>
          <w:kern w:val="0"/>
          <w:sz w:val="24"/>
          <w:szCs w:val="24"/>
        </w:rPr>
        <w:t xml:space="preserve">2) 이 </w:t>
      </w:r>
      <w:proofErr w:type="spellStart"/>
      <w:r w:rsidRPr="007B27D9">
        <w:rPr>
          <w:rFonts w:ascii="바탕체" w:eastAsia="바탕체" w:cs="바탕체"/>
          <w:kern w:val="0"/>
          <w:sz w:val="24"/>
          <w:szCs w:val="24"/>
        </w:rPr>
        <w:t>위키피디어의</w:t>
      </w:r>
      <w:proofErr w:type="spellEnd"/>
      <w:r w:rsidRPr="007B27D9">
        <w:rPr>
          <w:rFonts w:ascii="바탕체" w:eastAsia="바탕체" w:cs="바탕체"/>
          <w:kern w:val="0"/>
          <w:sz w:val="24"/>
          <w:szCs w:val="24"/>
        </w:rPr>
        <w:t xml:space="preserve"> </w:t>
      </w:r>
      <w:r w:rsidRPr="007B27D9">
        <w:rPr>
          <w:rFonts w:ascii="바탕체" w:eastAsia="바탕체" w:cs="바탕체"/>
          <w:b/>
          <w:bCs/>
          <w:kern w:val="0"/>
          <w:sz w:val="24"/>
          <w:szCs w:val="24"/>
        </w:rPr>
        <w:t>DEHLER</w:t>
      </w:r>
      <w:r w:rsidRPr="007B27D9">
        <w:rPr>
          <w:rFonts w:ascii="바탕체" w:eastAsia="바탕체" w:cs="바탕체"/>
          <w:kern w:val="0"/>
          <w:sz w:val="24"/>
          <w:szCs w:val="24"/>
        </w:rPr>
        <w:t xml:space="preserve"> 부분의 번역본을 보면, 아래와 같이 모두 "</w:t>
      </w:r>
      <w:proofErr w:type="spellStart"/>
      <w:r w:rsidRPr="007B27D9">
        <w:rPr>
          <w:rFonts w:ascii="바탕체" w:eastAsia="바탕체" w:cs="바탕체"/>
          <w:kern w:val="0"/>
          <w:sz w:val="24"/>
          <w:szCs w:val="24"/>
        </w:rPr>
        <w:t>델러</w:t>
      </w:r>
      <w:proofErr w:type="spellEnd"/>
      <w:r w:rsidRPr="007B27D9">
        <w:rPr>
          <w:rFonts w:ascii="바탕체" w:eastAsia="바탕체" w:cs="바탕체"/>
          <w:kern w:val="0"/>
          <w:sz w:val="24"/>
          <w:szCs w:val="24"/>
        </w:rPr>
        <w:t>"로 호</w:t>
      </w:r>
      <w:r w:rsidRPr="007B27D9">
        <w:rPr>
          <w:rFonts w:ascii="바탕체" w:eastAsia="바탕체"/>
          <w:kern w:val="0"/>
          <w:sz w:val="24"/>
          <w:szCs w:val="24"/>
        </w:rPr>
        <w:t>칭하고 있습니다.</w:t>
      </w:r>
    </w:p>
    <w:p w14:paraId="1E112DFE" w14:textId="3ED893F3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0EA2C751" wp14:editId="5926C175">
            <wp:extent cx="5267325" cy="2733675"/>
            <wp:effectExtent l="0" t="0" r="9525" b="9525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E29CA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 w:cs="바탕체"/>
          <w:kern w:val="0"/>
          <w:sz w:val="24"/>
          <w:szCs w:val="24"/>
        </w:rPr>
        <w:t>3) 한편 위 Robert Dehler, Steven Dehler, Thomas Dehler에 대하여 구글에서 검색</w:t>
      </w:r>
      <w:r w:rsidRPr="007B27D9">
        <w:rPr>
          <w:rFonts w:ascii="바탕체" w:eastAsia="바탕체"/>
          <w:kern w:val="0"/>
          <w:sz w:val="24"/>
          <w:szCs w:val="24"/>
        </w:rPr>
        <w:t xml:space="preserve">을 해보면 모두 로버트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델러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, 스티븐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델러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, 토마스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델러로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호칭하고 있음을 알 수 있습니다.</w:t>
      </w:r>
    </w:p>
    <w:p w14:paraId="6435ECEB" w14:textId="07C65415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15C537A2" wp14:editId="089CF096">
            <wp:extent cx="5731510" cy="2169160"/>
            <wp:effectExtent l="0" t="0" r="2540" b="254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D89A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1584EA2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23CD69A8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1A5B0C7A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1FA71DF" w14:textId="2F60562A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49F40716" wp14:editId="7C21950F">
            <wp:extent cx="5731510" cy="3959225"/>
            <wp:effectExtent l="0" t="0" r="2540" b="317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F51C6" w14:textId="5DCD0CE4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31C0AA8A" wp14:editId="646DA7D9">
            <wp:extent cx="5731510" cy="2944495"/>
            <wp:effectExtent l="0" t="0" r="2540" b="825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109FF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4D895939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4) 나아가서 아래와 같이 "DEHLER"를 검색하면 이 호칭을 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델러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"로 하는 많은 자료들이 발견됩니다.</w:t>
      </w:r>
    </w:p>
    <w:p w14:paraId="2930B487" w14:textId="66184EA8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475B37EA" wp14:editId="5805804F">
            <wp:extent cx="5731510" cy="1636395"/>
            <wp:effectExtent l="0" t="0" r="2540" b="190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A6A32" w14:textId="351A2872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117CE64D" wp14:editId="75A0CE60">
            <wp:extent cx="5731510" cy="1181100"/>
            <wp:effectExtent l="0" t="0" r="254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8E11E" w14:textId="0681C0F1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7F9BC6B9" wp14:editId="74C00B63">
            <wp:extent cx="5731510" cy="1577975"/>
            <wp:effectExtent l="0" t="0" r="2540" b="317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13DC0" w14:textId="1FBB11E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1623B499" wp14:editId="32F297EC">
            <wp:extent cx="5731510" cy="1282700"/>
            <wp:effectExtent l="0" t="0" r="254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C059" w14:textId="23C5F503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72D42221" wp14:editId="3BD2DF1B">
            <wp:extent cx="5731510" cy="1319530"/>
            <wp:effectExtent l="0" t="0" r="254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1E8C0" w14:textId="797FEE8A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4F2E2FF1" wp14:editId="608C17F5">
            <wp:extent cx="5731510" cy="1402715"/>
            <wp:effectExtent l="0" t="0" r="2540" b="698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0675" w14:textId="4D90D485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39F21661" wp14:editId="5D3B78A9">
            <wp:extent cx="5731510" cy="2621280"/>
            <wp:effectExtent l="0" t="0" r="2540" b="762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3A852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 w:cs="바탕체"/>
          <w:kern w:val="0"/>
          <w:sz w:val="24"/>
          <w:szCs w:val="24"/>
        </w:rPr>
        <w:t>5) 이들 구체적인 사용실태를 종합하면, 본건 "DEHLER"는 "</w:t>
      </w:r>
      <w:proofErr w:type="spellStart"/>
      <w:r w:rsidRPr="007B27D9">
        <w:rPr>
          <w:rFonts w:ascii="바탕체" w:eastAsia="바탕체" w:cs="바탕체"/>
          <w:kern w:val="0"/>
          <w:sz w:val="24"/>
          <w:szCs w:val="24"/>
        </w:rPr>
        <w:t>델러</w:t>
      </w:r>
      <w:proofErr w:type="spellEnd"/>
      <w:r w:rsidRPr="007B27D9">
        <w:rPr>
          <w:rFonts w:ascii="바탕체" w:eastAsia="바탕체" w:cs="바탕체"/>
          <w:kern w:val="0"/>
          <w:sz w:val="24"/>
          <w:szCs w:val="24"/>
        </w:rPr>
        <w:t xml:space="preserve">"로 호칭된다고 할 </w:t>
      </w:r>
      <w:r w:rsidRPr="007B27D9">
        <w:rPr>
          <w:rFonts w:ascii="바탕체" w:eastAsia="바탕체"/>
          <w:kern w:val="0"/>
          <w:sz w:val="24"/>
          <w:szCs w:val="24"/>
        </w:rPr>
        <w:t>것입니다. (다른 대안은 H를 묵음으로 하지 않고 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데흘러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" 정도로 할 것인데, 이러한 자료가 두개 정도 발견되기는 하지만, 이 정도로 </w:t>
      </w:r>
      <w:r w:rsidRPr="007B27D9">
        <w:rPr>
          <w:rFonts w:ascii="바탕체" w:eastAsia="바탕체"/>
          <w:b/>
          <w:bCs/>
          <w:kern w:val="0"/>
          <w:sz w:val="24"/>
          <w:szCs w:val="24"/>
        </w:rPr>
        <w:t>DEHLER</w:t>
      </w:r>
      <w:r w:rsidRPr="007B27D9">
        <w:rPr>
          <w:rFonts w:ascii="바탕체" w:eastAsia="바탕체"/>
          <w:kern w:val="0"/>
          <w:sz w:val="24"/>
          <w:szCs w:val="24"/>
        </w:rPr>
        <w:t xml:space="preserve">의 호칭을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데흘러로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보기는 미흡하고, 만일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데흘러로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호칭할 경우 인용상표들은 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다흘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", "달러" 정도로 호칭될 것으로서, 본건 상표와 인용상표의 호칭의 유사문제는 발생하지 않습니다.)</w:t>
      </w:r>
    </w:p>
    <w:p w14:paraId="0E3D2856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(2) 인용상표 1의 호칭</w:t>
      </w:r>
    </w:p>
    <w:p w14:paraId="5B4116D9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1) 인용상표 1과 관련되어, Dahle를 검색하면 아래와 같이 독일어사전에서 a에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lastRenderedPageBreak/>
        <w:t>움라우트가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붙은 형태의 Dahle가 발견되는데, 이 발음은 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데일러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" 정도가 되고 의미는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유럽산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소나무입니다. 그러나, 이 단어는 난이도가 높은 단어로서 일반 수요자가 이 독일어 단어를 알고, 본건 상표를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데일러로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발음한다고 판단하는 것은 무리라 할 것입니다. (소나무는 독일어로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kiefer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인데, a에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움라우트가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붙은 형태의 Dahle은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유럽산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소나무를 일컫는 단어로서 난이도가 상당히 높은 수준의 단어이고, 이 단어를 일반 수요자 또는 거래자가 알고 이에 따라 본건 상표도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데일러로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발음할 것이라고 판단하는 것은 상당한 무리가 있다고 할 것입니다.) 한편으로 이것은 Dahle가 아니라 a에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움라우트가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붙은 것으로서 인용상표 </w:t>
      </w:r>
      <w:r w:rsidRPr="007B27D9">
        <w:rPr>
          <w:rFonts w:ascii="바탕체" w:eastAsia="바탕체"/>
          <w:b/>
          <w:bCs/>
          <w:kern w:val="0"/>
          <w:sz w:val="24"/>
          <w:szCs w:val="24"/>
        </w:rPr>
        <w:t>DAHLE</w:t>
      </w:r>
      <w:r w:rsidRPr="007B27D9">
        <w:rPr>
          <w:rFonts w:ascii="바탕체" w:eastAsia="바탕체"/>
          <w:kern w:val="0"/>
          <w:sz w:val="24"/>
          <w:szCs w:val="24"/>
        </w:rPr>
        <w:t xml:space="preserve">와는 다른 것입니다. 따라서 인용상표 </w:t>
      </w:r>
      <w:r w:rsidRPr="007B27D9">
        <w:rPr>
          <w:rFonts w:ascii="바탕체" w:eastAsia="바탕체"/>
          <w:b/>
          <w:bCs/>
          <w:kern w:val="0"/>
          <w:sz w:val="24"/>
          <w:szCs w:val="24"/>
        </w:rPr>
        <w:t>DAHLE</w:t>
      </w:r>
      <w:r w:rsidRPr="007B27D9">
        <w:rPr>
          <w:rFonts w:ascii="바탕체" w:eastAsia="바탕체"/>
          <w:kern w:val="0"/>
          <w:sz w:val="24"/>
          <w:szCs w:val="24"/>
        </w:rPr>
        <w:t>의 호칭은 구체적인 사용실태를 쫓아 이에 따라서 판단하여야 할 것입니다.</w:t>
      </w:r>
    </w:p>
    <w:p w14:paraId="6B167818" w14:textId="46ABDFF4" w:rsidR="007B27D9" w:rsidRPr="007B27D9" w:rsidRDefault="007B27D9" w:rsidP="007B27D9">
      <w:pPr>
        <w:wordWrap/>
        <w:adjustRightInd w:val="0"/>
        <w:spacing w:after="0" w:line="672" w:lineRule="auto"/>
        <w:jc w:val="center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17515B50" wp14:editId="1402B379">
            <wp:extent cx="4152900" cy="3209925"/>
            <wp:effectExtent l="0" t="0" r="0" b="952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14D2" w14:textId="77777777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2) </w:t>
      </w:r>
      <w:r w:rsidRPr="007B27D9">
        <w:rPr>
          <w:rFonts w:ascii="바탕체" w:eastAsia="바탕체"/>
          <w:b/>
          <w:bCs/>
          <w:kern w:val="0"/>
          <w:sz w:val="24"/>
          <w:szCs w:val="24"/>
        </w:rPr>
        <w:t>DAHLE</w:t>
      </w:r>
      <w:r w:rsidRPr="007B27D9">
        <w:rPr>
          <w:rFonts w:ascii="바탕체" w:eastAsia="바탕체"/>
          <w:kern w:val="0"/>
          <w:sz w:val="24"/>
          <w:szCs w:val="24"/>
        </w:rPr>
        <w:t>에 대한 호칭을 조사해보면 아래 자료들이 발견이 됩니다.</w:t>
      </w:r>
    </w:p>
    <w:p w14:paraId="15CDAFE8" w14:textId="76DE2E8F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2728B7E6" wp14:editId="52EA0567">
            <wp:extent cx="5731510" cy="2205990"/>
            <wp:effectExtent l="0" t="0" r="2540" b="381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152D" w14:textId="2A79E0C4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6023AFFF" wp14:editId="097A0E0E">
            <wp:extent cx="5731510" cy="2205990"/>
            <wp:effectExtent l="0" t="0" r="2540" b="381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3142D" w14:textId="66A4A541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5423A160" wp14:editId="6838D086">
            <wp:extent cx="5731510" cy="987425"/>
            <wp:effectExtent l="0" t="0" r="2540" b="317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9B800" w14:textId="70AD28B4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75F2D49C" wp14:editId="0B059837">
            <wp:extent cx="5731510" cy="1338580"/>
            <wp:effectExtent l="0" t="0" r="254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48D92" w14:textId="0F932754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7FD364B9" wp14:editId="3536BA3B">
            <wp:extent cx="5731510" cy="1144270"/>
            <wp:effectExtent l="0" t="0" r="254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8155F" w14:textId="3F956538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6BCBF761" wp14:editId="56E8E491">
            <wp:extent cx="5731510" cy="1116965"/>
            <wp:effectExtent l="0" t="0" r="2540" b="698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8B6C1" w14:textId="583D5759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0ADE2CEB" wp14:editId="4B676292">
            <wp:extent cx="5731510" cy="950595"/>
            <wp:effectExtent l="0" t="0" r="2540" b="190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CA67" w14:textId="47FBC641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086DDD69" wp14:editId="4C71E219">
            <wp:extent cx="5731510" cy="1245870"/>
            <wp:effectExtent l="0" t="0" r="254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A569" w14:textId="177B4DD0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79D3B4CC" wp14:editId="322A2FDF">
            <wp:extent cx="5731510" cy="1375410"/>
            <wp:effectExtent l="0" t="0" r="254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29EBB" w14:textId="5285BF15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49CBE407" wp14:editId="69468C6A">
            <wp:extent cx="5731510" cy="1477010"/>
            <wp:effectExtent l="0" t="0" r="2540" b="889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7A38" w14:textId="71435269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2DF7CC5E" wp14:editId="169F1DB4">
            <wp:extent cx="5731510" cy="1319530"/>
            <wp:effectExtent l="0" t="0" r="254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DB425" w14:textId="7DC558D1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1667F43D" wp14:editId="6B858ED4">
            <wp:extent cx="5731510" cy="1477010"/>
            <wp:effectExtent l="0" t="0" r="2540" b="889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4EEAB" w14:textId="34EB8645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2D118394" wp14:editId="7445CD8D">
            <wp:extent cx="5731510" cy="1541145"/>
            <wp:effectExtent l="0" t="0" r="2540" b="190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50072" w14:textId="3BE6C5D4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13F1A02E" wp14:editId="45146EAD">
            <wp:extent cx="5731510" cy="1181100"/>
            <wp:effectExtent l="0" t="0" r="254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EE5A9" w14:textId="00439D5C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379ACF44" wp14:editId="5AA4D31B">
            <wp:extent cx="5731510" cy="1338580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D72D6" w14:textId="0554E49C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490E3347" wp14:editId="367017FC">
            <wp:extent cx="5731510" cy="1338580"/>
            <wp:effectExtent l="0" t="0" r="254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71E7" w14:textId="3DD00C2A" w:rsidR="007B27D9" w:rsidRPr="007B27D9" w:rsidRDefault="007B27D9" w:rsidP="007B27D9">
      <w:pPr>
        <w:wordWrap/>
        <w:adjustRightInd w:val="0"/>
        <w:spacing w:after="0" w:line="672" w:lineRule="auto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40D200E3" wp14:editId="68206503">
            <wp:extent cx="5731510" cy="1577975"/>
            <wp:effectExtent l="0" t="0" r="2540" b="317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D95FE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 w:cs="바탕체"/>
          <w:kern w:val="0"/>
          <w:sz w:val="24"/>
          <w:szCs w:val="24"/>
        </w:rPr>
        <w:t xml:space="preserve">3) 즉 많은 </w:t>
      </w:r>
      <w:proofErr w:type="spellStart"/>
      <w:r w:rsidRPr="007B27D9">
        <w:rPr>
          <w:rFonts w:ascii="바탕체" w:eastAsia="바탕체" w:cs="바탕체"/>
          <w:kern w:val="0"/>
          <w:sz w:val="24"/>
          <w:szCs w:val="24"/>
        </w:rPr>
        <w:t>자료들로부터</w:t>
      </w:r>
      <w:proofErr w:type="spellEnd"/>
      <w:r w:rsidRPr="007B27D9">
        <w:rPr>
          <w:rFonts w:ascii="바탕체" w:eastAsia="바탕체" w:cs="바탕체"/>
          <w:kern w:val="0"/>
          <w:sz w:val="24"/>
          <w:szCs w:val="24"/>
        </w:rPr>
        <w:t xml:space="preserve"> </w:t>
      </w:r>
      <w:r w:rsidRPr="007B27D9">
        <w:rPr>
          <w:rFonts w:ascii="바탕체" w:eastAsia="바탕체" w:cs="바탕체"/>
          <w:b/>
          <w:bCs/>
          <w:kern w:val="0"/>
          <w:sz w:val="24"/>
          <w:szCs w:val="24"/>
        </w:rPr>
        <w:t>DAHLE</w:t>
      </w:r>
      <w:r w:rsidRPr="007B27D9">
        <w:rPr>
          <w:rFonts w:ascii="바탕체" w:eastAsia="바탕체" w:cs="바탕체" w:hint="eastAsia"/>
          <w:kern w:val="0"/>
          <w:sz w:val="24"/>
          <w:szCs w:val="24"/>
        </w:rPr>
        <w:t>는</w:t>
      </w:r>
      <w:r w:rsidRPr="007B27D9">
        <w:rPr>
          <w:rFonts w:ascii="바탕체" w:eastAsia="바탕체" w:cs="바탕체"/>
          <w:kern w:val="0"/>
          <w:sz w:val="24"/>
          <w:szCs w:val="24"/>
        </w:rPr>
        <w:t xml:space="preserve"> "</w:t>
      </w:r>
      <w:proofErr w:type="spellStart"/>
      <w:r w:rsidRPr="007B27D9">
        <w:rPr>
          <w:rFonts w:ascii="바탕체" w:eastAsia="바탕체" w:cs="바탕체"/>
          <w:kern w:val="0"/>
          <w:sz w:val="24"/>
          <w:szCs w:val="24"/>
        </w:rPr>
        <w:t>달레</w:t>
      </w:r>
      <w:proofErr w:type="spellEnd"/>
      <w:r w:rsidRPr="007B27D9">
        <w:rPr>
          <w:rFonts w:ascii="바탕체" w:eastAsia="바탕체" w:cs="바탕체"/>
          <w:kern w:val="0"/>
          <w:sz w:val="24"/>
          <w:szCs w:val="24"/>
        </w:rPr>
        <w:t>"로 호칭되고 있음을 알 수</w:t>
      </w:r>
      <w:r w:rsidRPr="007B27D9">
        <w:rPr>
          <w:rFonts w:ascii="바탕체" w:eastAsia="바탕체" w:cs="바탕체" w:hint="eastAsia"/>
          <w:kern w:val="0"/>
          <w:sz w:val="24"/>
          <w:szCs w:val="24"/>
        </w:rPr>
        <w:t>가</w:t>
      </w:r>
      <w:r w:rsidRPr="007B27D9">
        <w:rPr>
          <w:rFonts w:ascii="바탕체" w:eastAsia="바탕체" w:cs="바탕체"/>
          <w:kern w:val="0"/>
          <w:sz w:val="24"/>
          <w:szCs w:val="24"/>
        </w:rPr>
        <w:t xml:space="preserve"> 있고, 이외 </w:t>
      </w:r>
      <w:r w:rsidRPr="007B27D9">
        <w:rPr>
          <w:rFonts w:ascii="바탕체" w:eastAsia="바탕체"/>
          <w:kern w:val="0"/>
          <w:sz w:val="24"/>
          <w:szCs w:val="24"/>
        </w:rPr>
        <w:t>다른 호칭은 찾기가 어렵습니다. 따라서 인용상표 1은 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달레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"로 호칭된다고 할 것입니다.</w:t>
      </w:r>
    </w:p>
    <w:p w14:paraId="7FBFFA66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2F6260D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(3) 인용상표 2의 호칭</w:t>
      </w:r>
    </w:p>
    <w:p w14:paraId="381E721A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lastRenderedPageBreak/>
        <w:t xml:space="preserve">인용상표 2는 아래와 같이 디자인이 된 </w:t>
      </w:r>
      <w:r w:rsidRPr="007B27D9">
        <w:rPr>
          <w:rFonts w:ascii="바탕체" w:eastAsia="바탕체"/>
          <w:kern w:val="0"/>
          <w:sz w:val="24"/>
          <w:szCs w:val="24"/>
          <w:u w:val="single"/>
        </w:rPr>
        <w:t>고유의 독특한 외관</w:t>
      </w:r>
      <w:r w:rsidRPr="007B27D9">
        <w:rPr>
          <w:rFonts w:ascii="바탕체" w:eastAsia="바탕체"/>
          <w:kern w:val="0"/>
          <w:sz w:val="24"/>
          <w:szCs w:val="24"/>
        </w:rPr>
        <w:t>을 가지는 상표입니다.</w:t>
      </w:r>
    </w:p>
    <w:p w14:paraId="030C1DD4" w14:textId="2386685B" w:rsidR="007B27D9" w:rsidRPr="007B27D9" w:rsidRDefault="007B27D9" w:rsidP="007B27D9">
      <w:pPr>
        <w:wordWrap/>
        <w:adjustRightInd w:val="0"/>
        <w:spacing w:after="0" w:line="672" w:lineRule="auto"/>
        <w:jc w:val="center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5378D2FD" wp14:editId="6C01FE51">
            <wp:extent cx="1323975" cy="132397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0F1FC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1)  우선 스펠링만을 쫓아 Daller에 대하여 살펴보면, 아래와 같이, 프랑스어로서, 포석을 깔다, </w:t>
      </w:r>
      <w:proofErr w:type="gramStart"/>
      <w:r w:rsidRPr="007B27D9">
        <w:rPr>
          <w:rFonts w:ascii="바탕체" w:eastAsia="바탕체"/>
          <w:kern w:val="0"/>
          <w:sz w:val="24"/>
          <w:szCs w:val="24"/>
        </w:rPr>
        <w:t>포장하다 의</w:t>
      </w:r>
      <w:proofErr w:type="gramEnd"/>
      <w:r w:rsidRPr="007B27D9">
        <w:rPr>
          <w:rFonts w:ascii="바탕체" w:eastAsia="바탕체"/>
          <w:kern w:val="0"/>
          <w:sz w:val="24"/>
          <w:szCs w:val="24"/>
        </w:rPr>
        <w:t xml:space="preserve"> 의미가 있으며, 그 발음(호칭)은 "델리"입니다. </w:t>
      </w:r>
    </w:p>
    <w:p w14:paraId="0AB00B39" w14:textId="53020313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5D431B89" wp14:editId="6282E7C3">
            <wp:extent cx="5731510" cy="3498215"/>
            <wp:effectExtent l="0" t="0" r="2540" b="698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3670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29542366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lastRenderedPageBreak/>
        <w:t xml:space="preserve">2) 그런데 인용상표 2는 고유의 독특한 디자인을 가지는 것으로서 실거래상 </w:t>
      </w:r>
      <w:r w:rsidRPr="007B27D9">
        <w:rPr>
          <w:rFonts w:ascii="바탕체" w:eastAsia="바탕체"/>
          <w:b/>
          <w:bCs/>
          <w:kern w:val="0"/>
          <w:sz w:val="24"/>
          <w:szCs w:val="24"/>
        </w:rPr>
        <w:t>"디 알러"</w:t>
      </w:r>
      <w:r w:rsidRPr="007B27D9">
        <w:rPr>
          <w:rFonts w:ascii="바탕체" w:eastAsia="바탕체"/>
          <w:kern w:val="0"/>
          <w:sz w:val="24"/>
          <w:szCs w:val="24"/>
        </w:rPr>
        <w:t>로 호칭되고 있습니다.</w:t>
      </w:r>
    </w:p>
    <w:p w14:paraId="1BDED6F9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4EE9DCE8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①</w:t>
      </w:r>
      <w:r w:rsidRPr="007B27D9">
        <w:rPr>
          <w:rFonts w:ascii="바탕체" w:eastAsia="바탕체"/>
          <w:kern w:val="0"/>
          <w:sz w:val="24"/>
          <w:szCs w:val="24"/>
        </w:rPr>
        <w:t xml:space="preserve"> 아래 2개의 URL의 블로그는 인용상표 2의 브랜드 제품의 사용후기입니다.</w:t>
      </w:r>
    </w:p>
    <w:p w14:paraId="7CCC90EF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- https://blog.naver.com/wlsgml9994/221335997396 </w:t>
      </w:r>
    </w:p>
    <w:p w14:paraId="4EE12D2A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- https://blog.naver.com/fishdish8/221236546867</w:t>
      </w:r>
    </w:p>
    <w:p w14:paraId="2F8E8657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②</w:t>
      </w:r>
      <w:r w:rsidRPr="007B27D9">
        <w:rPr>
          <w:rFonts w:ascii="바탕체" w:eastAsia="바탕체"/>
          <w:kern w:val="0"/>
          <w:sz w:val="24"/>
          <w:szCs w:val="24"/>
        </w:rPr>
        <w:t xml:space="preserve"> 이들 블로그를 보면 아래와 같이 </w:t>
      </w:r>
      <w:r w:rsidRPr="007B27D9">
        <w:rPr>
          <w:rFonts w:ascii="바탕체" w:eastAsia="바탕체"/>
          <w:b/>
          <w:bCs/>
          <w:kern w:val="0"/>
          <w:sz w:val="24"/>
          <w:szCs w:val="24"/>
        </w:rPr>
        <w:t>"디 알러"</w:t>
      </w:r>
      <w:r w:rsidRPr="007B27D9">
        <w:rPr>
          <w:rFonts w:ascii="바탕체" w:eastAsia="바탕체"/>
          <w:kern w:val="0"/>
          <w:sz w:val="24"/>
          <w:szCs w:val="24"/>
        </w:rPr>
        <w:t xml:space="preserve">로 호칭되고 있습니다. D가 대문자로서 짙은 파랑으로 분리된 디자인과 그 옆에 소문자의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aller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라 결합된 인용상표는 그 상품이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알러지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케어 침구로서, "디 알러"에서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알러는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알러지를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줄인 것이고,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디는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Decrease로서 줄인다는 의미를 가진다 할 것입니다.</w:t>
      </w:r>
    </w:p>
    <w:p w14:paraId="09C48888" w14:textId="318B8651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728438A0" wp14:editId="7C0D9EA1">
            <wp:extent cx="5731510" cy="4254500"/>
            <wp:effectExtent l="0" t="0" r="254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6837A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kern w:val="0"/>
          <w:sz w:val="24"/>
          <w:szCs w:val="24"/>
        </w:rPr>
        <w:t>③</w:t>
      </w:r>
      <w:r w:rsidRPr="007B27D9">
        <w:rPr>
          <w:rFonts w:ascii="바탕체" w:eastAsia="바탕체" w:cs="바탕체"/>
          <w:kern w:val="0"/>
          <w:sz w:val="24"/>
          <w:szCs w:val="24"/>
        </w:rPr>
        <w:t xml:space="preserve"> 이와 같이 인용상표는 디자인된 D와 </w:t>
      </w:r>
      <w:proofErr w:type="spellStart"/>
      <w:r w:rsidRPr="007B27D9">
        <w:rPr>
          <w:rFonts w:ascii="바탕체" w:eastAsia="바탕체" w:cs="바탕체"/>
          <w:kern w:val="0"/>
          <w:sz w:val="24"/>
          <w:szCs w:val="24"/>
        </w:rPr>
        <w:t>aller</w:t>
      </w:r>
      <w:proofErr w:type="spellEnd"/>
      <w:r w:rsidRPr="007B27D9">
        <w:rPr>
          <w:rFonts w:ascii="바탕체" w:eastAsia="바탕체" w:cs="바탕체"/>
          <w:kern w:val="0"/>
          <w:sz w:val="24"/>
          <w:szCs w:val="24"/>
        </w:rPr>
        <w:t xml:space="preserve">이 결합된 것으로서, D와 </w:t>
      </w:r>
      <w:proofErr w:type="spellStart"/>
      <w:r w:rsidRPr="007B27D9">
        <w:rPr>
          <w:rFonts w:ascii="바탕체" w:eastAsia="바탕체" w:cs="바탕체"/>
          <w:kern w:val="0"/>
          <w:sz w:val="24"/>
          <w:szCs w:val="24"/>
        </w:rPr>
        <w:t>aller</w:t>
      </w:r>
      <w:proofErr w:type="spellEnd"/>
      <w:r w:rsidRPr="007B27D9">
        <w:rPr>
          <w:rFonts w:ascii="바탕체" w:eastAsia="바탕체" w:cs="바탕체"/>
          <w:kern w:val="0"/>
          <w:sz w:val="24"/>
          <w:szCs w:val="24"/>
        </w:rPr>
        <w:t xml:space="preserve">을 </w:t>
      </w:r>
      <w:r w:rsidRPr="007B27D9">
        <w:rPr>
          <w:rFonts w:ascii="바탕체" w:eastAsia="바탕체" w:cs="바탕체" w:hint="eastAsia"/>
          <w:kern w:val="0"/>
          <w:sz w:val="24"/>
          <w:szCs w:val="24"/>
        </w:rPr>
        <w:t>분</w:t>
      </w:r>
      <w:r w:rsidRPr="007B27D9">
        <w:rPr>
          <w:rFonts w:ascii="바탕체" w:eastAsia="바탕체"/>
          <w:kern w:val="0"/>
          <w:sz w:val="24"/>
          <w:szCs w:val="24"/>
        </w:rPr>
        <w:t>리하여 "디 알러"로 호칭되고 있습니다.</w:t>
      </w:r>
    </w:p>
    <w:p w14:paraId="1BDEB065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4921DAB2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3) 한편으로 Daller는 미국달러를 의미하는 달러로 광범위하게 호칭되고 있습니다. 네이버에서 검색되는 자료들의 일부를 보이면 아래와 같습니다.</w:t>
      </w:r>
    </w:p>
    <w:p w14:paraId="32CFCDDC" w14:textId="7D458613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557D3481" wp14:editId="42BD8FE1">
            <wp:extent cx="5731510" cy="4254500"/>
            <wp:effectExtent l="0" t="0" r="254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39AD" w14:textId="3836DBD0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3F5425BC" wp14:editId="04BF4140">
            <wp:extent cx="5731510" cy="1412240"/>
            <wp:effectExtent l="0" t="0" r="254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68A00" w14:textId="77E7E3EA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1A387437" wp14:editId="23DD3285">
            <wp:extent cx="5731510" cy="2169160"/>
            <wp:effectExtent l="0" t="0" r="254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E7E8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/>
          <w:kern w:val="0"/>
          <w:sz w:val="24"/>
          <w:szCs w:val="24"/>
        </w:rPr>
        <w:t xml:space="preserve">4) 또한 Daller는 아래와 같이 달러로 호칭되고 있습니다. </w:t>
      </w:r>
    </w:p>
    <w:p w14:paraId="78D59B2D" w14:textId="5C3C84E6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02CF306F" wp14:editId="71FEEFA5">
            <wp:extent cx="5731510" cy="5602605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FCC4" w14:textId="3E14ADE8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6181CC9E" wp14:editId="0479573F">
            <wp:extent cx="5731510" cy="539940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3C8F1" w14:textId="2F534DFF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4B93AF61" wp14:editId="070D9680">
            <wp:extent cx="5731510" cy="1144270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081F2" w14:textId="1CF66ED4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7BBBEEE2" wp14:editId="3E780221">
            <wp:extent cx="5731510" cy="2621280"/>
            <wp:effectExtent l="0" t="0" r="2540" b="762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E3D2" w14:textId="63A75BB5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73C83B5A" wp14:editId="494B2A6C">
            <wp:extent cx="5731510" cy="1762760"/>
            <wp:effectExtent l="0" t="0" r="2540" b="889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F75C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4E5B58DE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5) 한편, Daller의 발음을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델러로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상정하여 이런 경우를 찾으면 전혀 검색이 되지 않습니다. 즉 네이버에서 "Daller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델러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를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검색하면 아래와 같이 검색되는 것이 없습니다.</w:t>
      </w:r>
    </w:p>
    <w:p w14:paraId="216D0B53" w14:textId="288FD39A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7B27D9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6399D139" wp14:editId="0125F760">
            <wp:extent cx="5438775" cy="3848100"/>
            <wp:effectExtent l="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83E59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 w:cs="바탕체"/>
          <w:kern w:val="0"/>
          <w:sz w:val="24"/>
          <w:szCs w:val="24"/>
        </w:rPr>
        <w:t xml:space="preserve">6) 이와 같이 D와 </w:t>
      </w:r>
      <w:proofErr w:type="spellStart"/>
      <w:r w:rsidRPr="007B27D9">
        <w:rPr>
          <w:rFonts w:ascii="바탕체" w:eastAsia="바탕체" w:cs="바탕체"/>
          <w:kern w:val="0"/>
          <w:sz w:val="24"/>
          <w:szCs w:val="24"/>
        </w:rPr>
        <w:t>aller</w:t>
      </w:r>
      <w:proofErr w:type="spellEnd"/>
      <w:r w:rsidRPr="007B27D9">
        <w:rPr>
          <w:rFonts w:ascii="바탕체" w:eastAsia="바탕체" w:cs="바탕체"/>
          <w:kern w:val="0"/>
          <w:sz w:val="24"/>
          <w:szCs w:val="24"/>
        </w:rPr>
        <w:t>가 색깔과 대문자 및 소문자로 구분된 형태인 고유의 독특</w:t>
      </w:r>
      <w:r w:rsidRPr="007B27D9">
        <w:rPr>
          <w:rFonts w:ascii="바탕체" w:eastAsia="바탕체"/>
          <w:kern w:val="0"/>
          <w:sz w:val="24"/>
          <w:szCs w:val="24"/>
        </w:rPr>
        <w:t xml:space="preserve">한 디자인의 인용상표2는 "디 알러"로 호칭되고 있으며, 스펠링을 쫓아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daller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의 호칭을 찾으면 '달러'로서 광범위하게 호칭되고 있고, 만일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daller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를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델러로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호칭하는 경우를 찾으면 발견되는 것이 없습니다.</w:t>
      </w:r>
    </w:p>
    <w:p w14:paraId="275CDC50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07CA5D5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5. 본건 상표와 인용상표와의 유사여부</w:t>
      </w:r>
    </w:p>
    <w:p w14:paraId="38F29BC5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(1) 본건 상표와 인용상표 1의 유사여부</w:t>
      </w:r>
    </w:p>
    <w:p w14:paraId="4E4EA1AB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1) 판례의 법리에 따를 경우, 구체적인 사용실태에 따라서 호칭을 판단하여야 </w:t>
      </w:r>
      <w:r w:rsidRPr="007B27D9">
        <w:rPr>
          <w:rFonts w:ascii="바탕체" w:eastAsia="바탕체"/>
          <w:kern w:val="0"/>
          <w:sz w:val="24"/>
          <w:szCs w:val="24"/>
        </w:rPr>
        <w:lastRenderedPageBreak/>
        <w:t>하는 것이고, 임의적으로 가능한 발음을 모두 상정하여 이중 문제가 있으면 유사하다는 판단은 성립하지 않습니다. 따라서 본건 상표는 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델러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"로 인용상표 1은 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달레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"로 호칭되고 있으며, 이렇게 호칭되는 본건 상표와 인용상표1은 유사할 일이 없다고 할 것입니다.</w:t>
      </w:r>
    </w:p>
    <w:p w14:paraId="399CF370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2) 그럼에도 불구하고, 인용상표 1의 발음을 임의적으로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다흘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, 데일 정도로 상정하여 살펴보아도, 이들 발음에 따라 인용상표 1이 본건 상표와 유사할 일은 없다고 할 것입니다. </w:t>
      </w:r>
    </w:p>
    <w:p w14:paraId="5533F31E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4502A129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(2) 본건 상표와 인용상표 2의 유사여부</w:t>
      </w:r>
    </w:p>
    <w:p w14:paraId="10ED84E1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1) 인용상표 2는 디자인된 고유의 외관을 가지는 것으로서 구체적인 거래실태를 보면 '디 알러'로 호칭되고 있습니다. 따라서 판례의 법리에 따라, 인용상표 2의 호칭은 '디 알러'로 판단되며, 이러한 경우, 본건 상표의 호칭 '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델러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'와 유사할 일이 없는 것입니다.</w:t>
      </w:r>
    </w:p>
    <w:p w14:paraId="030F5D32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2) 한편 인용상표 2는 철자만을 볼 경우, 불어로서 그 발음이 '델리'이며, 이 호칭이 본건 상표의 호칭 '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델러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'와 유사할 일이 없습니다. </w:t>
      </w:r>
    </w:p>
    <w:p w14:paraId="7F76F624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lastRenderedPageBreak/>
        <w:t xml:space="preserve">3) 또한 인용상표 2는 철자만을 볼 경우, 대부분의 경우, '달러'로 호칭되고 있으며, 이는 본건 상표의 호칭과 유사할 일이 없는 것입니다. </w:t>
      </w:r>
    </w:p>
    <w:p w14:paraId="11CDBF04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4) 인용상표 2가 '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델러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'로 호칭되는 경우를 임의적으로 상정할 수도 있지만, 그러한 경우는 발견되지 않고 있습니다. 따라서 이 때문에 인용상표 2가 본건 상표의 호칭과 유사할 일은 없다고 할 것입니다. 그럼에도 불구하고, 인용상표 2가 '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델러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'로 호칭되는 경우를 상정하여 판단을 해보면, 본건 상표와 인용상표는 그 외관이 너무 다르고, 관념도 본건 상표는 독일의 성(surname)으로서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사람이름이고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>, 인용상표 2는 거래실정에 따를 경우 '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알러지를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줄이다'정도로, 또는 화폐표시의 달러로 또는 관념이 없는 것으로서, 양자는 관념도 완전히 다르다고 할 것입니다. 한편 인용상표 2와 관련된 지정상품들은 매트리스 등으로서 고관여의 제품이고, 제품의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쿠션감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등을 중요시 여겨 이러한 사정들을 꼼꼼히 살피는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제품들로서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직접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누워보는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등 제품을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겪여보고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구매를 하는 경우가 많은 것으로서, 단순히 호칭이 비슷하다는 것만으로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출처의혼동을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일으키지는 않다고 할 것입니다. 따라서 갑 제5호증부터 갑 제10호증의 판례에서 보이는 바와 같이, 단순히 호칭만의 문제로 상표의 유사를 판단할 수는 없으며, </w:t>
      </w:r>
      <w:r w:rsidRPr="007B27D9">
        <w:rPr>
          <w:rFonts w:ascii="바탕체" w:eastAsia="바탕체"/>
          <w:kern w:val="0"/>
          <w:sz w:val="24"/>
          <w:szCs w:val="24"/>
        </w:rPr>
        <w:lastRenderedPageBreak/>
        <w:t>외관도 중요시 여겨야 할 것이고, 구체적인 거래실정도 고려하여야 하는 것으로서, 이렇게 외관, 호칭, 관념과 거래실정을 두루 살필 경우, 본건 상표와 인용상표 2는 유사할 일이 없다고 할 것입니다.</w:t>
      </w:r>
    </w:p>
    <w:p w14:paraId="1D25B148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5) 정리하면, 구체적인 사용실태를 살필 경우, 인용상표2의 호칭은 "디 알러" 또는 "달러" 정도가 될 것으로서, 본건 상표와 인용상표 2는 유사할 일이 없다고 할 것입니다. 무리하게 인용상표 2가 "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델러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"로 호칭되는 경우를 상정한다고 하여도, 비록 호칭 상 일부 유사한 점이 있다고 하여도 거래의 실정을 고려하면, 외관과 관념이 너무 달라 양자는 출처의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오인혼동이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있을 수 없고, 본건 상표는 인용상표 2와 유사하지 않다고 할 것입니다.</w:t>
      </w:r>
    </w:p>
    <w:p w14:paraId="4A0ECCCE" w14:textId="77777777" w:rsidR="007B27D9" w:rsidRPr="007B27D9" w:rsidRDefault="007B27D9" w:rsidP="007B27D9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4D3D6C6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6. 결론</w:t>
      </w:r>
    </w:p>
    <w:p w14:paraId="3DE33EE6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이와 같이 본건 상표는 인용상표들과 유사하지 않습니다.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그러하오니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재심사하시어 출원공고결정을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내려주시기</w:t>
      </w:r>
      <w:proofErr w:type="spellEnd"/>
      <w:r w:rsidRPr="007B27D9">
        <w:rPr>
          <w:rFonts w:ascii="바탕체" w:eastAsia="바탕체"/>
          <w:kern w:val="0"/>
          <w:sz w:val="24"/>
          <w:szCs w:val="24"/>
        </w:rPr>
        <w:t xml:space="preserve"> 바랍니다.</w:t>
      </w:r>
    </w:p>
    <w:p w14:paraId="51F0D6A5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  <w:u w:val="single"/>
        </w:rPr>
        <w:t>첨부자료:</w:t>
      </w:r>
    </w:p>
    <w:p w14:paraId="1F6750A9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1. (갑) 제1호증 특허심판원 2017원5939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심결문</w:t>
      </w:r>
      <w:proofErr w:type="spellEnd"/>
    </w:p>
    <w:p w14:paraId="598E1944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lastRenderedPageBreak/>
        <w:t xml:space="preserve">2. (갑) 제2호증 특허심판원 2020원1998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심결문</w:t>
      </w:r>
      <w:proofErr w:type="spellEnd"/>
    </w:p>
    <w:p w14:paraId="3B6C368C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3. (갑) 제3호증 특허심판원 2021원880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심결문</w:t>
      </w:r>
      <w:proofErr w:type="spellEnd"/>
    </w:p>
    <w:p w14:paraId="41756177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4. (갑) 제4호증 특허심판원 2021원2177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심결문</w:t>
      </w:r>
      <w:proofErr w:type="spellEnd"/>
    </w:p>
    <w:p w14:paraId="4F28EC72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>5. (갑) 제5호증: 특허법원 2020허3720 판결문</w:t>
      </w:r>
    </w:p>
    <w:p w14:paraId="70039F90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6. (갑) 제6호증: 특허심판원 2021당1388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심결문</w:t>
      </w:r>
      <w:proofErr w:type="spellEnd"/>
    </w:p>
    <w:p w14:paraId="560D4275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7. (갑) 제7호증: 특허심판원 2021원1323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심결문</w:t>
      </w:r>
      <w:proofErr w:type="spellEnd"/>
    </w:p>
    <w:p w14:paraId="55BB791D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8. (갑) 제8호증: 특허심판원 2021원1410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심결문</w:t>
      </w:r>
      <w:proofErr w:type="spellEnd"/>
    </w:p>
    <w:p w14:paraId="14223BFC" w14:textId="77777777" w:rsidR="007B27D9" w:rsidRPr="007B27D9" w:rsidRDefault="007B27D9" w:rsidP="007B27D9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7B27D9">
        <w:rPr>
          <w:rFonts w:ascii="바탕체" w:eastAsia="바탕체"/>
          <w:kern w:val="0"/>
          <w:sz w:val="24"/>
          <w:szCs w:val="24"/>
        </w:rPr>
        <w:t xml:space="preserve">9. (갑) 제9호증: 특허심판원 2020원2678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심결문</w:t>
      </w:r>
      <w:proofErr w:type="spellEnd"/>
    </w:p>
    <w:p w14:paraId="225DD510" w14:textId="0063DBFD" w:rsidR="00945C6C" w:rsidRPr="007B27D9" w:rsidRDefault="007B27D9" w:rsidP="007B27D9">
      <w:r w:rsidRPr="007B27D9">
        <w:rPr>
          <w:rFonts w:ascii="바탕체" w:eastAsia="바탕체"/>
          <w:kern w:val="0"/>
          <w:sz w:val="24"/>
          <w:szCs w:val="24"/>
        </w:rPr>
        <w:t xml:space="preserve">10. (갑) 제10호증: 특허심판원 2022당2374 </w:t>
      </w:r>
      <w:proofErr w:type="spellStart"/>
      <w:r w:rsidRPr="007B27D9">
        <w:rPr>
          <w:rFonts w:ascii="바탕체" w:eastAsia="바탕체"/>
          <w:kern w:val="0"/>
          <w:sz w:val="24"/>
          <w:szCs w:val="24"/>
        </w:rPr>
        <w:t>심결문</w:t>
      </w:r>
      <w:proofErr w:type="spellEnd"/>
    </w:p>
    <w:sectPr w:rsidR="00945C6C" w:rsidRPr="007B27D9">
      <w:footerReference w:type="default" r:id="rId63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94FAC" w14:textId="77777777" w:rsidR="007B27D9" w:rsidRDefault="007B27D9" w:rsidP="007B27D9">
      <w:pPr>
        <w:spacing w:after="0" w:line="240" w:lineRule="auto"/>
      </w:pPr>
      <w:r>
        <w:separator/>
      </w:r>
    </w:p>
  </w:endnote>
  <w:endnote w:type="continuationSeparator" w:id="0">
    <w:p w14:paraId="44D1AC00" w14:textId="77777777" w:rsidR="007B27D9" w:rsidRDefault="007B27D9" w:rsidP="007B2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0591311"/>
      <w:docPartObj>
        <w:docPartGallery w:val="Page Numbers (Bottom of Page)"/>
        <w:docPartUnique/>
      </w:docPartObj>
    </w:sdtPr>
    <w:sdtContent>
      <w:p w14:paraId="5CFAC118" w14:textId="01E4ACEF" w:rsidR="007B27D9" w:rsidRDefault="007B27D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14:paraId="6DB3437C" w14:textId="77777777" w:rsidR="007B27D9" w:rsidRDefault="007B27D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D09D4" w14:textId="77777777" w:rsidR="007B27D9" w:rsidRDefault="007B27D9" w:rsidP="007B27D9">
      <w:pPr>
        <w:spacing w:after="0" w:line="240" w:lineRule="auto"/>
      </w:pPr>
      <w:r>
        <w:separator/>
      </w:r>
    </w:p>
  </w:footnote>
  <w:footnote w:type="continuationSeparator" w:id="0">
    <w:p w14:paraId="41C856FD" w14:textId="77777777" w:rsidR="007B27D9" w:rsidRDefault="007B27D9" w:rsidP="007B27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7D9"/>
    <w:rsid w:val="007B27D9"/>
    <w:rsid w:val="0094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9C9DA"/>
  <w15:chartTrackingRefBased/>
  <w15:docId w15:val="{1A2ECC09-E6CF-41F0-9575-F08C2D425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27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B27D9"/>
  </w:style>
  <w:style w:type="paragraph" w:styleId="a4">
    <w:name w:val="footer"/>
    <w:basedOn w:val="a"/>
    <w:link w:val="Char0"/>
    <w:uiPriority w:val="99"/>
    <w:unhideWhenUsed/>
    <w:rsid w:val="007B27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B2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1217</Words>
  <Characters>6937</Characters>
  <Application>Microsoft Office Word</Application>
  <DocSecurity>0</DocSecurity>
  <Lines>57</Lines>
  <Paragraphs>16</Paragraphs>
  <ScaleCrop>false</ScaleCrop>
  <Company/>
  <LinksUpToDate>false</LinksUpToDate>
  <CharactersWithSpaces>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혁근 조</dc:creator>
  <cp:keywords/>
  <dc:description/>
  <cp:lastModifiedBy>혁근 조</cp:lastModifiedBy>
  <cp:revision>1</cp:revision>
  <dcterms:created xsi:type="dcterms:W3CDTF">2025-06-24T11:53:00Z</dcterms:created>
  <dcterms:modified xsi:type="dcterms:W3CDTF">2025-06-24T11:54:00Z</dcterms:modified>
</cp:coreProperties>
</file>