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632C9" w14:textId="77777777" w:rsidR="00000821" w:rsidRPr="00000821" w:rsidRDefault="00000821" w:rsidP="00000821">
      <w:pPr>
        <w:wordWrap/>
        <w:adjustRightInd w:val="0"/>
        <w:spacing w:after="0" w:line="672" w:lineRule="auto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【의견내용】</w:t>
      </w:r>
    </w:p>
    <w:p w14:paraId="4CF72BB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1. 본건 상표등록출원 제40-2023-0103561호에 대한 의견제출통지서에 대하여 본 출원인은 아래와 같이 의견을 개진합니다.</w:t>
      </w:r>
    </w:p>
    <w:p w14:paraId="41545455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B3426B5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2. 본건 거절이유는 아래 본건 상표가 아래 인용상표들과 유사하다는 것입니다.</w:t>
      </w:r>
    </w:p>
    <w:p w14:paraId="7ABDC1D2" w14:textId="78BA602B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A1E72B8" wp14:editId="0E0BE0C3">
            <wp:extent cx="1895475" cy="1895475"/>
            <wp:effectExtent l="0" t="0" r="9525" b="9525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8DD9" w14:textId="77777777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/>
          <w:kern w:val="0"/>
          <w:sz w:val="24"/>
          <w:szCs w:val="24"/>
        </w:rPr>
        <w:t>&lt;본</w:t>
      </w:r>
      <w:r w:rsidRPr="00000821">
        <w:rPr>
          <w:rFonts w:ascii="바탕체" w:eastAsia="바탕체" w:cs="바탕체" w:hint="eastAsia"/>
          <w:kern w:val="0"/>
          <w:sz w:val="24"/>
          <w:szCs w:val="24"/>
        </w:rPr>
        <w:t>건</w:t>
      </w:r>
      <w:r w:rsidRPr="00000821">
        <w:rPr>
          <w:rFonts w:ascii="바탕체" w:eastAsia="바탕체" w:cs="바탕체"/>
          <w:kern w:val="0"/>
          <w:sz w:val="24"/>
          <w:szCs w:val="24"/>
        </w:rPr>
        <w:t xml:space="preserve"> 상표&gt;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47"/>
        <w:gridCol w:w="3147"/>
        <w:gridCol w:w="3147"/>
      </w:tblGrid>
      <w:tr w:rsidR="00000821" w:rsidRPr="00000821" w14:paraId="5B7B8D21" w14:textId="77777777">
        <w:tblPrEx>
          <w:tblCellMar>
            <w:top w:w="0" w:type="dxa"/>
            <w:bottom w:w="0" w:type="dxa"/>
          </w:tblCellMar>
        </w:tblPrEx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BA1B7" w14:textId="00EB1292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0D23C8F9" wp14:editId="096BA023">
                  <wp:extent cx="1323975" cy="1323975"/>
                  <wp:effectExtent l="0" t="0" r="9525" b="9525"/>
                  <wp:docPr id="75" name="그림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7A1D4" w14:textId="68E7F05F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30E1C0EA" wp14:editId="47F04DDD">
                  <wp:extent cx="1323975" cy="1323975"/>
                  <wp:effectExtent l="0" t="0" r="9525" b="9525"/>
                  <wp:docPr id="74" name="그림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80C46" w14:textId="43EEC34A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5FB29D49" wp14:editId="6C7447AE">
                  <wp:extent cx="1323975" cy="1323975"/>
                  <wp:effectExtent l="0" t="0" r="9525" b="9525"/>
                  <wp:docPr id="73" name="그림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21" w:rsidRPr="00000821" w14:paraId="6AC63635" w14:textId="77777777">
        <w:tblPrEx>
          <w:tblCellMar>
            <w:top w:w="0" w:type="dxa"/>
            <w:bottom w:w="0" w:type="dxa"/>
          </w:tblCellMar>
        </w:tblPrEx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21191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인용상표1</w:t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8B4B3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인용상표2</w:t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92CBE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인용상표3</w:t>
            </w:r>
          </w:p>
        </w:tc>
      </w:tr>
    </w:tbl>
    <w:p w14:paraId="511A9081" w14:textId="77777777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&lt;인용상표들&gt;</w:t>
      </w:r>
    </w:p>
    <w:p w14:paraId="03268B7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78C03B1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3. 이러한 거절이유는 본건 상표의 문자부분 "KUKDAESTAR1"에 대하여 "KUKDAE"를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요부로 보고, 이 호칭이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"로서 인용상표들과 호칭이 동일하거나 같기 때문이라고 할 것입니다. 즉 본건 거절이유는 본건 상표에서 KUKDAE를 요부로 보고 이로 인하여 본건 상표와 인용상표들의 사이에서 출처의 혼동이 있을 것으로 염려하여 통지된 것이라 할 것입니다.</w:t>
      </w:r>
    </w:p>
    <w:p w14:paraId="01A73D9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7F3AE98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4. 요부관찰 vs 전체관찰의 법리에 대한 검토</w:t>
      </w:r>
    </w:p>
    <w:p w14:paraId="2A7DA8AE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1BCE7AD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(1) 현재 상표관찰의 주요한 법리는 요부관찰이라 할 것으로서, 이것은 결합상표에 대하여 독립하여 출처표시를 하는 부분이 있는 경우 이 부분을 요부로 하고 이 부분을 중심으로 관찰하여 유사여부를 판단하는 것을 말한다 할 것입니다. 이러한 요부관찰과 관련되어 중요한 판례의 태도는 </w:t>
      </w:r>
      <w:r w:rsidRPr="00000821">
        <w:rPr>
          <w:rFonts w:ascii="바탕체" w:eastAsia="바탕체"/>
          <w:kern w:val="0"/>
          <w:sz w:val="24"/>
          <w:szCs w:val="24"/>
        </w:rPr>
        <w:t>ⅰ</w:t>
      </w:r>
      <w:r w:rsidRPr="00000821">
        <w:rPr>
          <w:rFonts w:ascii="바탕체" w:eastAsia="바탕체"/>
          <w:kern w:val="0"/>
          <w:sz w:val="24"/>
          <w:szCs w:val="24"/>
        </w:rPr>
        <w:t xml:space="preserve">) 식별력이 없거나 미약한 부분을 요부로 보지 않으며(따라서, 또한, 결합상표의 구성요소 중 어느 하나의 식별력이 특별히 약하지 않은 경우 전체로서 관찰하여야 하며), </w:t>
      </w:r>
      <w:r w:rsidRPr="00000821">
        <w:rPr>
          <w:rFonts w:ascii="바탕체" w:eastAsia="바탕체"/>
          <w:kern w:val="0"/>
          <w:sz w:val="24"/>
          <w:szCs w:val="24"/>
        </w:rPr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일체로서 의미를 형성하는 경우 전체로서 관찰하고 어느 하나를 요부로 보지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않는다는 것입니다. </w:t>
      </w:r>
    </w:p>
    <w:p w14:paraId="3710AC7B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5B5B79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(2) 예를 </w:t>
      </w:r>
      <w:proofErr w:type="gramStart"/>
      <w:r w:rsidRPr="00000821">
        <w:rPr>
          <w:rFonts w:ascii="바탕체" w:eastAsia="바탕체"/>
          <w:kern w:val="0"/>
          <w:sz w:val="24"/>
          <w:szCs w:val="24"/>
        </w:rPr>
        <w:t>들어,특허법원</w:t>
      </w:r>
      <w:proofErr w:type="gramEnd"/>
      <w:r w:rsidRPr="00000821">
        <w:rPr>
          <w:rFonts w:ascii="바탕체" w:eastAsia="바탕체"/>
          <w:kern w:val="0"/>
          <w:sz w:val="24"/>
          <w:szCs w:val="24"/>
        </w:rPr>
        <w:t xml:space="preserve"> 2022허3731 등록무효(상) 판결은 『북촌』 vs 『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북촌삼대』의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유사여부에 대하여 아래의 이유를 들어 "북촌삼대"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를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전체로서 관찰하여야 함을 설시하고 이에 따라서 양 상표는 출처의 혼동이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없는바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판단을 하였습니다. (본건 의견서에서 언급하는 판결들은 모두 판결문을 참고자료로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첨부하오니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면밀한 검토를 부탁드립니다.)</w:t>
      </w:r>
    </w:p>
    <w:p w14:paraId="775140B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000821" w:rsidRPr="00000821" w14:paraId="29D392EC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BDDE2" w14:textId="6139A3BD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6248CFE9" wp14:editId="5A8FFF15">
                  <wp:extent cx="1057275" cy="1057275"/>
                  <wp:effectExtent l="0" t="0" r="9525" b="9525"/>
                  <wp:docPr id="72" name="그림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BEC43" w14:textId="759E22DA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1E5D080C" wp14:editId="6E3EADCA">
                  <wp:extent cx="1019175" cy="1019175"/>
                  <wp:effectExtent l="0" t="0" r="9525" b="9525"/>
                  <wp:docPr id="71" name="그림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21" w:rsidRPr="00000821" w14:paraId="210AD50B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82447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등록상표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488A5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</w:t>
            </w:r>
          </w:p>
        </w:tc>
      </w:tr>
    </w:tbl>
    <w:p w14:paraId="379BDC31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715B0B6E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- 아래 -</w:t>
      </w:r>
    </w:p>
    <w:p w14:paraId="4CD26DAD" w14:textId="58B55CF8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720A6523" wp14:editId="31E92822">
            <wp:extent cx="5731510" cy="4614545"/>
            <wp:effectExtent l="0" t="0" r="254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6349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8DBAE67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즉 "북촌삼대"에 대하여, "북촌"과 "삼대"가 어느 하나의 식별력이 특별히 약하다고 할 수 없어 북촌만을 요부로 볼 수 없고, 의미상으로도 일체의 관념을 형성하는 것으로서 "북촌삼대"가 전체로서 관찰되어야 함을 말한 것입니다.</w:t>
      </w:r>
    </w:p>
    <w:p w14:paraId="5EBE78D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C2DA3C5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(3) 또한, 특허법원 2017허6453 등록무효(상) 판결은 『고물장수 vs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장수돌침대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』(이외 장수가 들어가는 선등록상표 포함)에 대하여,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장수돌침대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"가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저명한 상표임에도 불구하고, 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>"고물장수"가 전체로서 일체의 관념을 가지는 바 전체관찰이 되어야 하고 장수가 요부가 되지 못하여,</w:t>
      </w:r>
      <w:r w:rsidRPr="00000821">
        <w:rPr>
          <w:rFonts w:ascii="바탕체" w:eastAsia="바탕체"/>
          <w:kern w:val="0"/>
          <w:sz w:val="24"/>
          <w:szCs w:val="24"/>
        </w:rPr>
        <w:t xml:space="preserve"> 이 두개의 상표는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판단을 하였습니다. 아래에서 관련 설시를 보입니다.</w:t>
      </w:r>
    </w:p>
    <w:p w14:paraId="0DF09F1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- 아래 -</w:t>
      </w:r>
    </w:p>
    <w:p w14:paraId="63145673" w14:textId="7F0476A4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3D6D313" wp14:editId="76F3B8C6">
            <wp:extent cx="5731510" cy="4752975"/>
            <wp:effectExtent l="0" t="0" r="2540" b="952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567D9" w14:textId="046D9958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336C2DFC" wp14:editId="6A9C2CBF">
            <wp:extent cx="5731510" cy="1299845"/>
            <wp:effectExtent l="0" t="0" r="254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C326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024886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(4) 또한, 특허법원은 2018허7842 권리범위확인(상) 판결에서 『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천년구들돌침대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vs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천년마루』의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유사여부와 관련되어,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천년구들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돌침대에 대하여, </w:t>
      </w:r>
      <w:r w:rsidRPr="00000821">
        <w:rPr>
          <w:rFonts w:ascii="바탕체" w:eastAsia="바탕체"/>
          <w:kern w:val="0"/>
          <w:sz w:val="24"/>
          <w:szCs w:val="24"/>
        </w:rPr>
        <w:t>ⅰ</w:t>
      </w:r>
      <w:r w:rsidRPr="00000821">
        <w:rPr>
          <w:rFonts w:ascii="바탕체" w:eastAsia="바탕체"/>
          <w:kern w:val="0"/>
          <w:sz w:val="24"/>
          <w:szCs w:val="24"/>
        </w:rPr>
        <w:t xml:space="preserve">) "천년"과 "구들"이 어느 하나가 특별히 식별력이 높다고 볼 수 없고, </w:t>
      </w:r>
      <w:r w:rsidRPr="00000821">
        <w:rPr>
          <w:rFonts w:ascii="바탕체" w:eastAsia="바탕체"/>
          <w:kern w:val="0"/>
          <w:sz w:val="24"/>
          <w:szCs w:val="24"/>
        </w:rPr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오히려 천년이 </w:t>
      </w: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오랜기간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사용이 가능하다는 효능을 연상시킨다는 점</w:t>
      </w:r>
      <w:r w:rsidRPr="00000821">
        <w:rPr>
          <w:rFonts w:ascii="바탕체" w:eastAsia="바탕체"/>
          <w:kern w:val="0"/>
          <w:sz w:val="24"/>
          <w:szCs w:val="24"/>
        </w:rPr>
        <w:t xml:space="preserve">과 </w:t>
      </w:r>
      <w:r w:rsidRPr="00000821">
        <w:rPr>
          <w:rFonts w:ascii="바탕체" w:eastAsia="바탕체"/>
          <w:kern w:val="0"/>
          <w:sz w:val="24"/>
          <w:szCs w:val="24"/>
        </w:rPr>
        <w:t>ⅲ</w:t>
      </w:r>
      <w:r w:rsidRPr="00000821">
        <w:rPr>
          <w:rFonts w:ascii="바탕체" w:eastAsia="바탕체"/>
          <w:kern w:val="0"/>
          <w:sz w:val="24"/>
          <w:szCs w:val="24"/>
        </w:rPr>
        <w:t xml:space="preserve">) 본건 상표의 지정상품인 침대와 관련되어, 천년이 들어가는 상표들이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다수개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등록된 점을 고려할 때, 천년이 요부가 될 수 없고,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천년구들돌침대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전체로서 관찰하여야 한다고 설시하여, 이들 두개의 상표가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판단하였습니다. 관련 설시를 아래에서 보입니다.</w:t>
      </w:r>
    </w:p>
    <w:p w14:paraId="6491E46E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BF54A52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- 아래 -</w:t>
      </w:r>
    </w:p>
    <w:p w14:paraId="1C30F705" w14:textId="4DF91E91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582CEB38" wp14:editId="65F047A3">
            <wp:extent cx="5731510" cy="2169160"/>
            <wp:effectExtent l="0" t="0" r="2540" b="254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3C62" w14:textId="3820DDC2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E48B8E8" wp14:editId="43DE098A">
            <wp:extent cx="5731510" cy="1577975"/>
            <wp:effectExtent l="0" t="0" r="2540" b="3175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2C9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C1A0834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(5) 나아가서, 특허법원은 2019허5881 등록무효(상) </w:t>
      </w:r>
      <w:proofErr w:type="gramStart"/>
      <w:r w:rsidRPr="00000821">
        <w:rPr>
          <w:rFonts w:ascii="바탕체" w:eastAsia="바탕체"/>
          <w:kern w:val="0"/>
          <w:sz w:val="24"/>
          <w:szCs w:val="24"/>
        </w:rPr>
        <w:t>판결에서,</w:t>
      </w:r>
      <w:r w:rsidRPr="00000821">
        <w:rPr>
          <w:rFonts w:ascii="바탕체" w:eastAsia="바탕체"/>
          <w:b/>
          <w:bCs/>
          <w:kern w:val="0"/>
          <w:sz w:val="24"/>
          <w:szCs w:val="24"/>
        </w:rPr>
        <w:t>『</w:t>
      </w:r>
      <w:proofErr w:type="gramEnd"/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매일밥상 vs MAEIL </w:t>
      </w:r>
      <w:proofErr w:type="spellStart"/>
      <w:r w:rsidRPr="00000821">
        <w:rPr>
          <w:rFonts w:ascii="바탕체" w:eastAsia="바탕체"/>
          <w:b/>
          <w:bCs/>
          <w:kern w:val="0"/>
          <w:sz w:val="24"/>
          <w:szCs w:val="24"/>
        </w:rPr>
        <w:t>매일』</w:t>
      </w:r>
      <w:r w:rsidRPr="00000821">
        <w:rPr>
          <w:rFonts w:ascii="바탕체" w:eastAsia="바탕체"/>
          <w:kern w:val="0"/>
          <w:sz w:val="24"/>
          <w:szCs w:val="24"/>
        </w:rPr>
        <w:t>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유사여부와 관련되어, 등록상표 "매일밥상"에 대하여, 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>ⅰ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>) "매일"이 '매일 먹는' 또는 '매일 먹으면 좋은' 등의 사용시기를 연상시키고, 의미상의 보편성으로 독점적응성이 낮아 식별력이 낮다고 판단하였습니다. (한편 밥상을 수식하는 수식어에 불과하다는 점도 고려되었습니다.)</w:t>
      </w:r>
      <w:r w:rsidRPr="00000821">
        <w:rPr>
          <w:rFonts w:ascii="바탕체" w:eastAsia="바탕체"/>
          <w:kern w:val="0"/>
          <w:sz w:val="24"/>
          <w:szCs w:val="24"/>
        </w:rPr>
        <w:t xml:space="preserve"> </w:t>
      </w:r>
      <w:r w:rsidRPr="00000821">
        <w:rPr>
          <w:rFonts w:ascii="바탕체" w:eastAsia="바탕체"/>
          <w:kern w:val="0"/>
          <w:sz w:val="24"/>
          <w:szCs w:val="24"/>
        </w:rPr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그리고, "밥상"에 대하여도 등록상표의 지정상품과 관련되어 "- 밥상"이 들어가는 상표들이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다수개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등록된 점을 들어 이 또한 식별력이 약하다고 판단하였으며,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이에 따라서 등록상표 『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매일밥상』은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식별력이 약한 2개의 단어가 결합된 것으로서 전체로서 관찰되어야 하고, 이렇게 전체로서 관찰되는 매일밥상은 인용상표 『MAEIL 매일』과 유사하지 않다고 판단하였습니다. 관련 설시를 아래에서 보입니다.</w:t>
      </w:r>
    </w:p>
    <w:p w14:paraId="6DB9A12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569874E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- 아래 -</w:t>
      </w:r>
    </w:p>
    <w:p w14:paraId="3C787F4C" w14:textId="424EF082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56EA75E5" wp14:editId="2E02F3C7">
            <wp:extent cx="5731510" cy="3700780"/>
            <wp:effectExtent l="0" t="0" r="254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56C8" w14:textId="7730E59C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7BB9B551" wp14:editId="57807C64">
            <wp:extent cx="5731510" cy="3433445"/>
            <wp:effectExtent l="0" t="0" r="254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61E22" w14:textId="2BF1BF03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E6DF08B" wp14:editId="58A42379">
            <wp:extent cx="5731510" cy="1929130"/>
            <wp:effectExtent l="0" t="0" r="254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D25A" w14:textId="4C9CA115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7AB1D1BE" wp14:editId="32A705F7">
            <wp:extent cx="5731510" cy="3018155"/>
            <wp:effectExtent l="0" t="0" r="254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6B8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1C334E1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(6) 이와 같이, 결합상표에서 요부라는 것은 그 부분만으로 독립하여 출처표시를 할 수 있는 가의 문제로서, </w:t>
      </w:r>
      <w:r w:rsidRPr="00000821">
        <w:rPr>
          <w:rFonts w:ascii="바탕체" w:eastAsia="바탕체"/>
          <w:kern w:val="0"/>
          <w:sz w:val="24"/>
          <w:szCs w:val="24"/>
        </w:rPr>
        <w:t>ⅰ</w:t>
      </w:r>
      <w:r w:rsidRPr="00000821">
        <w:rPr>
          <w:rFonts w:ascii="바탕체" w:eastAsia="바탕체"/>
          <w:kern w:val="0"/>
          <w:sz w:val="24"/>
          <w:szCs w:val="24"/>
        </w:rPr>
        <w:t xml:space="preserve">) 식별력이 없거나 미약한 부분은 요부가 되지 못하며, </w:t>
      </w:r>
      <w:r w:rsidRPr="00000821">
        <w:rPr>
          <w:rFonts w:ascii="바탕체" w:eastAsia="바탕체"/>
          <w:kern w:val="0"/>
          <w:sz w:val="24"/>
          <w:szCs w:val="24"/>
        </w:rPr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결합상표가 일체로서 의미를 형성하는 경우에도 전체로서 관찰하고 어느 하나를 요부로 보지 못한다는 것을 알 수 있습니다. </w:t>
      </w:r>
    </w:p>
    <w:p w14:paraId="08D04CB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A1CE6E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(7) 보론(補論)</w:t>
      </w:r>
    </w:p>
    <w:p w14:paraId="01D3B3AB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1A068F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1) 기실 상표의 관찰은 전체관찰이 원칙이라고 할 것입니다. 다만 독립하여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출처표시를 하는 부분이 있을 경우, 그 부분을 요부로 삼아 관찰할 수 있다는 것이지, 요부관찰이 원칙이 되는 것은 아니라 할 것입니다. 즉 요부관찰의 실체는 결합상표에서 과연 독립하여 출처표시를 하는 부분이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있는지의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문제라 할 것입니다.</w:t>
      </w:r>
    </w:p>
    <w:p w14:paraId="71E8586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995260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2) 따라서, 결합상표에서 어느 한부분이 독립하여 출처표시를 하는지에 대한 심각한 고찰이나 고민없이, 단지 상대적으로 식별력이 낮아 보인다는 이유만으로 그 부분을 요부로 주장하는 것은 요부관찰의 법리에도 어긋나는 것이고, 기존의 『전체관찰 vs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분리관찰』의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폐해로 지적되던 무리한 분리관찰이 다시 요부관찰의 이름으로 부활되는 꼴이 되어 버리는 것으로서 이는 경계해야 할 것으로 사료됩니다. </w:t>
      </w:r>
    </w:p>
    <w:p w14:paraId="69E027D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76457F6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3) 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즉 결합상표에서 어느 한부분이 요부가 되는지 </w:t>
      </w: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안되는지의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문제는 그 부분이 독립하여 출처표시를 할 수 있는지 없는지에 대한 판단이 되어야 할 것으로서, 결합상표의 </w:t>
      </w: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구성요소간의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식별력의 상대적 우위를 판별하여 약한 부분을 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lastRenderedPageBreak/>
        <w:t>제외하고 남는 부분이라는 이유</w:t>
      </w:r>
      <w:r w:rsidRPr="00000821">
        <w:rPr>
          <w:rFonts w:ascii="바탕체" w:eastAsia="바탕체"/>
          <w:b/>
          <w:bCs/>
          <w:kern w:val="0"/>
          <w:sz w:val="24"/>
          <w:szCs w:val="24"/>
          <w:u w:val="single"/>
        </w:rPr>
        <w:t>만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>으로 요부가 된다는 판단이 되어서는 아니될 것입니다.</w:t>
      </w:r>
      <w:r w:rsidRPr="00000821">
        <w:rPr>
          <w:rFonts w:ascii="바탕체" w:eastAsia="바탕체"/>
          <w:kern w:val="0"/>
          <w:sz w:val="24"/>
          <w:szCs w:val="24"/>
        </w:rPr>
        <w:t xml:space="preserve">  즉 </w:t>
      </w:r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전체관찰이 원칙이고, 일 부분을 요부로 인정하는 요부관찰은 예외인 것으로서, 독립하여 출처표시가 </w:t>
      </w:r>
      <w:proofErr w:type="spellStart"/>
      <w:r w:rsidRPr="00000821">
        <w:rPr>
          <w:rFonts w:ascii="바탕체" w:eastAsia="바탕체"/>
          <w:b/>
          <w:bCs/>
          <w:kern w:val="0"/>
          <w:sz w:val="24"/>
          <w:szCs w:val="24"/>
        </w:rPr>
        <w:t>가능다고</w:t>
      </w:r>
      <w:proofErr w:type="spellEnd"/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판단될 때 비로서 요부가 될 수 있다고 할 것입니다.</w:t>
      </w:r>
    </w:p>
    <w:p w14:paraId="3F8F6CCE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C4DFF0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4) 참고적으로 아래 판결들을 보이니 면밀한 검토를 부탁드립니다.</w:t>
      </w:r>
    </w:p>
    <w:p w14:paraId="573D10A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CB5769E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b/>
          <w:bCs/>
          <w:kern w:val="0"/>
          <w:sz w:val="24"/>
          <w:szCs w:val="24"/>
        </w:rPr>
        <w:t>①</w:t>
      </w:r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대법원 2017후981 판결 (거절결정 사건)</w:t>
      </w:r>
    </w:p>
    <w:p w14:paraId="389466F6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03EC3D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이 사건은 아래 2개의 상표의 유사여부에 대한 것인데,  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000821" w:rsidRPr="00000821" w14:paraId="1CC9DA10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C9640" w14:textId="4BB17DC4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12C870A5" wp14:editId="5CE8026A">
                  <wp:extent cx="1323975" cy="1323975"/>
                  <wp:effectExtent l="0" t="0" r="9525" b="9525"/>
                  <wp:docPr id="61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D1274" w14:textId="08FAE24C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2E961EEB" wp14:editId="61D6D01D">
                  <wp:extent cx="1323975" cy="1323975"/>
                  <wp:effectExtent l="0" t="0" r="9525" b="9525"/>
                  <wp:docPr id="60" name="그림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21" w:rsidRPr="00000821" w14:paraId="5CD591BC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F5D46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출원상표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A0883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인용상표(선등록상표)</w:t>
            </w:r>
          </w:p>
        </w:tc>
      </w:tr>
    </w:tbl>
    <w:p w14:paraId="0844B4C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대법원은 인용상표(선등록상표) MOU-JON-JON에서 MOU를 요부로 보고, 출원상표 MOU를 거절한 이건 사건에 대하여, 아래의 이유를 들어 인용상표(선등록상표)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MOU-JON-JON는 전체로 관찰되어야 하고 MOU를 요부로 볼 수 없다고 판단하였습니다.</w:t>
      </w:r>
    </w:p>
    <w:p w14:paraId="4ED8548A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C3023F3" w14:textId="39E0C4AE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502CE0F5" wp14:editId="45611EA0">
            <wp:extent cx="5731510" cy="1116965"/>
            <wp:effectExtent l="0" t="0" r="2540" b="698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F7BF" w14:textId="688F6C31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64BEEAB2" wp14:editId="6C0074D8">
            <wp:extent cx="5731510" cy="1375410"/>
            <wp:effectExtent l="0" t="0" r="254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02564" w14:textId="30A1975B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B3EAAC0" wp14:editId="3987FA7E">
            <wp:extent cx="5731510" cy="784225"/>
            <wp:effectExtent l="0" t="0" r="254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4059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50C7A10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즉 대법원은 </w:t>
      </w:r>
      <w:r w:rsidRPr="00000821">
        <w:rPr>
          <w:rFonts w:ascii="바탕체" w:eastAsia="바탕체"/>
          <w:kern w:val="0"/>
          <w:sz w:val="24"/>
          <w:szCs w:val="24"/>
        </w:rPr>
        <w:t>ⅰ</w:t>
      </w:r>
      <w:r w:rsidRPr="00000821">
        <w:rPr>
          <w:rFonts w:ascii="바탕체" w:eastAsia="바탕체"/>
          <w:kern w:val="0"/>
          <w:sz w:val="24"/>
          <w:szCs w:val="24"/>
        </w:rPr>
        <w:t xml:space="preserve">) 인용상표(선등록상표) MOU-JON-JON에서 MOU와 JON이나 JON-JON 중 어느 것이 식별력이 더 강하거나 약하거나 하지 않아 식별력의 우열이 없으며, </w:t>
      </w:r>
      <w:r w:rsidRPr="00000821">
        <w:rPr>
          <w:rFonts w:ascii="바탕체" w:eastAsia="바탕체"/>
          <w:kern w:val="0"/>
          <w:sz w:val="24"/>
          <w:szCs w:val="24"/>
        </w:rPr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실제 거래실정도 MOU-JON-JON이 전체로서 사용하고 있는 바, 특별히 어느 한 부분을 요부로 볼 수 없다고 판단하였으며, 이에 따라서 전체관찰의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원칙으로 복귀한 것입니다. 그리고 전체로서 관찰하여 출원상표 MOU가 인용상표(선등록상표) MOU-JON-JON과 유사하지 않다고 판단을 한 것입니다.</w:t>
      </w:r>
    </w:p>
    <w:p w14:paraId="5AB38895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48BB4FD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b/>
          <w:bCs/>
          <w:kern w:val="0"/>
          <w:sz w:val="24"/>
          <w:szCs w:val="24"/>
        </w:rPr>
        <w:t>②</w:t>
      </w:r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특허심판원 2020원198 </w:t>
      </w:r>
      <w:proofErr w:type="spellStart"/>
      <w:r w:rsidRPr="00000821">
        <w:rPr>
          <w:rFonts w:ascii="바탕체" w:eastAsia="바탕체"/>
          <w:b/>
          <w:bCs/>
          <w:kern w:val="0"/>
          <w:sz w:val="24"/>
          <w:szCs w:val="24"/>
        </w:rPr>
        <w:t>심결</w:t>
      </w:r>
      <w:proofErr w:type="spellEnd"/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(거절결정 사건) </w:t>
      </w:r>
    </w:p>
    <w:p w14:paraId="6EAB273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이 사건은 아래 출원상표가 인용상표들과 유사하다고 특허청이 거절한 것에 대한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거절결정불복심판입니다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.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7"/>
        <w:gridCol w:w="1907"/>
        <w:gridCol w:w="1907"/>
        <w:gridCol w:w="1907"/>
        <w:gridCol w:w="1907"/>
      </w:tblGrid>
      <w:tr w:rsidR="00000821" w:rsidRPr="00000821" w14:paraId="0511196D" w14:textId="77777777">
        <w:tblPrEx>
          <w:tblCellMar>
            <w:top w:w="0" w:type="dxa"/>
            <w:bottom w:w="0" w:type="dxa"/>
          </w:tblCellMar>
        </w:tblPrEx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CA354" w14:textId="771AFE21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7E29336E" wp14:editId="063D4209">
                  <wp:extent cx="1181100" cy="1181100"/>
                  <wp:effectExtent l="0" t="0" r="0" b="0"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29D76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62BFB0CD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6EEE88E7" w14:textId="6D8CFB6F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0DA6FF32" wp14:editId="6C82B5FF">
                  <wp:extent cx="981075" cy="266700"/>
                  <wp:effectExtent l="0" t="0" r="9525" b="0"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6FD5A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37325437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20D598C0" w14:textId="1AEDA388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5A98DAEF" wp14:editId="0CF7D687">
                  <wp:extent cx="609600" cy="304800"/>
                  <wp:effectExtent l="0" t="0" r="0" b="0"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1BE44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03FCF93E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1AF27E64" w14:textId="275FAAE1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3513DE63" wp14:editId="2705DF99">
                  <wp:extent cx="914400" cy="371475"/>
                  <wp:effectExtent l="0" t="0" r="0" b="9525"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78503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43E6B741" w14:textId="090FFA9A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56475474" wp14:editId="4B835991">
                  <wp:extent cx="638175" cy="942975"/>
                  <wp:effectExtent l="0" t="0" r="9525" b="9525"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21" w:rsidRPr="00000821" w14:paraId="5054FCA4" w14:textId="77777777">
        <w:tblPrEx>
          <w:tblCellMar>
            <w:top w:w="0" w:type="dxa"/>
            <w:bottom w:w="0" w:type="dxa"/>
          </w:tblCellMar>
        </w:tblPrEx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911C8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출원상표</w:t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C25CA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인용상표1</w:t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25AE0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인용상표2</w:t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50875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인용상표3</w:t>
            </w:r>
          </w:p>
        </w:tc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2737B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인용상표4</w:t>
            </w:r>
          </w:p>
        </w:tc>
      </w:tr>
    </w:tbl>
    <w:p w14:paraId="676CF9F1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5ABD6EA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특허청은 "HARRT +LIEU"의 상표를 HARRT와 LIEU로 분리하여 관찰하고, 이들 각각과 유사할 수 있는 HART,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리우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, Liwoo, 그림 + LIU를 인용상표로 하여 이건 출원을 거절한 것입니다. 즉 "HARRT +LIEU"의 상표에 대하여 HARRT와 LIEU를 각각 요부로 판단한 것입니다.</w:t>
      </w:r>
    </w:p>
    <w:p w14:paraId="304A461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C70E41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이러한 특허청의 판단에 대하여 특허심판원은 </w:t>
      </w:r>
      <w:r w:rsidRPr="00000821">
        <w:rPr>
          <w:rFonts w:ascii="바탕체" w:eastAsia="바탕체"/>
          <w:kern w:val="0"/>
          <w:sz w:val="24"/>
          <w:szCs w:val="24"/>
        </w:rPr>
        <w:t>ⅰ</w:t>
      </w:r>
      <w:r w:rsidRPr="00000821">
        <w:rPr>
          <w:rFonts w:ascii="바탕체" w:eastAsia="바탕체"/>
          <w:kern w:val="0"/>
          <w:sz w:val="24"/>
          <w:szCs w:val="24"/>
        </w:rPr>
        <w:t xml:space="preserve">) 이건 출원상표가 전체로서 관찰하는 것이 자연스러운 점, </w:t>
      </w:r>
      <w:r w:rsidRPr="00000821">
        <w:rPr>
          <w:rFonts w:ascii="바탕체" w:eastAsia="바탕체"/>
          <w:kern w:val="0"/>
          <w:sz w:val="24"/>
          <w:szCs w:val="24"/>
        </w:rPr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HARRT와 LIEU 중 어느 하나가 비중이 높거나,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주지저명하거나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, 더 강한 식별력을 가지고 있다고 보기 어려운 점을 들어, 이건 출원상표 "HARRT +LIEU"를 전체로서 관찰하여야 한다고 판단하였고, 그 결과로서 전체로서 관찰하여 인용상표들과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판단을 내렸습니다. (아래에서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심결문의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관련 설시부분을 보입니다.)</w:t>
      </w:r>
    </w:p>
    <w:p w14:paraId="01EBDFA4" w14:textId="305C7F7C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97FD3D7" wp14:editId="055F340D">
            <wp:extent cx="5731510" cy="3018155"/>
            <wp:effectExtent l="0" t="0" r="254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4568" w14:textId="77777777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&lt;특허심판원의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심결문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중 일부&gt;</w:t>
      </w:r>
    </w:p>
    <w:p w14:paraId="064694C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5CC679A5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b/>
          <w:bCs/>
          <w:kern w:val="0"/>
          <w:sz w:val="24"/>
          <w:szCs w:val="24"/>
        </w:rPr>
        <w:t>③</w:t>
      </w:r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특허심판원 2022원1244 </w:t>
      </w:r>
      <w:proofErr w:type="spellStart"/>
      <w:r w:rsidRPr="00000821">
        <w:rPr>
          <w:rFonts w:ascii="바탕체" w:eastAsia="바탕체"/>
          <w:b/>
          <w:bCs/>
          <w:kern w:val="0"/>
          <w:sz w:val="24"/>
          <w:szCs w:val="24"/>
        </w:rPr>
        <w:t>심결</w:t>
      </w:r>
      <w:proofErr w:type="spellEnd"/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(거절결정사건)</w:t>
      </w:r>
    </w:p>
    <w:p w14:paraId="4535A99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lastRenderedPageBreak/>
        <w:t>이 사건은 아래 출원상표가 인용상표와 유사하다고 거절한 것에 대한 거절결정불복심판에 관한 것입니다.</w:t>
      </w:r>
    </w:p>
    <w:p w14:paraId="36B839A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000821" w:rsidRPr="00000821" w14:paraId="655BFA21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9C604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Cs w:val="20"/>
              </w:rPr>
            </w:pPr>
          </w:p>
          <w:p w14:paraId="447E6051" w14:textId="21D933D0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07EE8F96" wp14:editId="71248A44">
                  <wp:extent cx="2095500" cy="333375"/>
                  <wp:effectExtent l="0" t="0" r="0" b="9525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1ED99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 w:val="24"/>
                <w:szCs w:val="24"/>
              </w:rPr>
            </w:pP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4EF2E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</w:p>
          <w:p w14:paraId="7298A76D" w14:textId="0DA46D21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660734F9" wp14:editId="5CDC61E5">
                  <wp:extent cx="1524000" cy="333375"/>
                  <wp:effectExtent l="0" t="0" r="0" b="9525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21" w:rsidRPr="00000821" w14:paraId="2D955957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7B5CF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출원상표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6764E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</w:t>
            </w:r>
          </w:p>
        </w:tc>
      </w:tr>
    </w:tbl>
    <w:p w14:paraId="559131A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3E29AAD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특허청은 "ARIZONA SUNSHINE" 출원상표에 대하여 SJUNSHINE을 요부로 보고, 인용상표 SUNSHINE과 유사하다고 판단을 한 것입니다. </w:t>
      </w:r>
    </w:p>
    <w:p w14:paraId="5F8C6454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그러나 특허심판원의 판단은 달랐으며, 아래를 이유로 "ARIZONA SUNSHINE"은 전체로서 관찰하여야 하고, SUNSHINE을 요부로 볼 수 없다고 판단을 하였습니다. 그리고 그 결과 이들 두 상표는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판단을 한 것입니다.</w:t>
      </w:r>
    </w:p>
    <w:p w14:paraId="27F1E36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5ACB332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- 아래 -</w:t>
      </w:r>
    </w:p>
    <w:p w14:paraId="4D63260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ⅰ</w:t>
      </w:r>
      <w:r w:rsidRPr="00000821">
        <w:rPr>
          <w:rFonts w:ascii="바탕체" w:eastAsia="바탕체"/>
          <w:kern w:val="0"/>
          <w:sz w:val="24"/>
          <w:szCs w:val="24"/>
        </w:rPr>
        <w:t>) 문자 부분 중 SUNSHINE 부분이 다른 문자 부분인 ARIZONA와 달리 주지</w:t>
      </w:r>
      <w:r w:rsidRPr="00000821">
        <w:rPr>
          <w:rFonts w:ascii="바탕체" w:eastAsia="바탕체"/>
          <w:kern w:val="0"/>
          <w:sz w:val="24"/>
          <w:szCs w:val="24"/>
        </w:rPr>
        <w:t>·</w:t>
      </w:r>
      <w:r w:rsidRPr="00000821">
        <w:rPr>
          <w:rFonts w:ascii="바탕체" w:eastAsia="바탕체"/>
          <w:kern w:val="0"/>
          <w:sz w:val="24"/>
          <w:szCs w:val="24"/>
        </w:rPr>
        <w:t xml:space="preserve">저명하다고 볼 만한 근거가 없는 점, </w:t>
      </w:r>
    </w:p>
    <w:p w14:paraId="6FB7DD5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lastRenderedPageBreak/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SUNSHINE과 ARIZONA의 두 부분이 모두 동일한 글자체, 색상, 크기로 표기되어 있고, SUNSHINE 부분이 ARIZONA 부분보다 뒤에 위치하고 있는 등의 결합상태 등에 비추어 볼 때, SUNSHINE 부분이 ARIZONA 부분보다 특별히 강한 인상을 주는 부분이라고 보기 어려운 점, </w:t>
      </w:r>
    </w:p>
    <w:p w14:paraId="7BB284C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ⅲ</w:t>
      </w:r>
      <w:r w:rsidRPr="00000821">
        <w:rPr>
          <w:rFonts w:ascii="바탕체" w:eastAsia="바탕체"/>
          <w:kern w:val="0"/>
          <w:sz w:val="24"/>
          <w:szCs w:val="24"/>
        </w:rPr>
        <w:t xml:space="preserve">) 구성 부분 중 ARIZONA를 제외하고 SUNSHINE 부분만으로 독립하여 출처표시기능을 할 수 있다고 볼 정도로 SUNSHINE 부분이 전체상표에서 높은 비중을 차지하는 것으로 보기 어려운 점, </w:t>
      </w:r>
    </w:p>
    <w:p w14:paraId="0A9BC499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ⅳ</w:t>
      </w:r>
      <w:r w:rsidRPr="00000821">
        <w:rPr>
          <w:rFonts w:ascii="바탕체" w:eastAsia="바탕체"/>
          <w:kern w:val="0"/>
          <w:sz w:val="24"/>
          <w:szCs w:val="24"/>
        </w:rPr>
        <w:t>) 실제 언론기사 등의 거래실정을 살펴보면, 전체로서 호칭되고 SUNSHINE만으로 약칭되는 경우를 찾기 어려운 점</w:t>
      </w:r>
    </w:p>
    <w:p w14:paraId="14D1C507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E804DC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b/>
          <w:bCs/>
          <w:kern w:val="0"/>
          <w:sz w:val="24"/>
          <w:szCs w:val="24"/>
        </w:rPr>
        <w:t>④</w:t>
      </w:r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특허법원 2018허6528 판결 권리범위확인 사건</w:t>
      </w:r>
    </w:p>
    <w:p w14:paraId="2B35640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A4C1180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이 사건은 아래 등록상표에 대하여 확인대상상표가 권리범위에 속하는지 여부를 판단한 사건입니다.</w:t>
      </w:r>
    </w:p>
    <w:p w14:paraId="13483FFB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000821" w:rsidRPr="00000821" w14:paraId="3F421714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B49E9" w14:textId="325114BB" w:rsidR="00000821" w:rsidRPr="00000821" w:rsidRDefault="00000821" w:rsidP="00000821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3D88193C" wp14:editId="099EF607">
                  <wp:extent cx="2543175" cy="1552575"/>
                  <wp:effectExtent l="0" t="0" r="9525" b="9525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F65A7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rPr>
                <w:rFonts w:ascii="바탕체" w:eastAsia="바탕체" w:cs="바탕체"/>
                <w:kern w:val="0"/>
                <w:szCs w:val="20"/>
              </w:rPr>
            </w:pPr>
          </w:p>
          <w:p w14:paraId="7F4BBB17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/>
                <w:kern w:val="0"/>
                <w:szCs w:val="20"/>
              </w:rPr>
            </w:pPr>
          </w:p>
          <w:p w14:paraId="17555246" w14:textId="69D32F0F" w:rsidR="00000821" w:rsidRPr="00000821" w:rsidRDefault="00000821" w:rsidP="00000821">
            <w:pPr>
              <w:wordWrap/>
              <w:adjustRightInd w:val="0"/>
              <w:spacing w:after="0" w:line="312" w:lineRule="auto"/>
              <w:jc w:val="left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293CF867" wp14:editId="6CF0B817">
                  <wp:extent cx="2905125" cy="609600"/>
                  <wp:effectExtent l="0" t="0" r="9525" b="0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21" w:rsidRPr="00000821" w14:paraId="23CA2E60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C3753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 w:cs="바탕체" w:hint="eastAsia"/>
                <w:kern w:val="0"/>
                <w:szCs w:val="20"/>
              </w:rPr>
              <w:t>등록상표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35BEB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 w:cs="바탕체" w:hint="eastAsia"/>
                <w:kern w:val="0"/>
                <w:szCs w:val="20"/>
              </w:rPr>
              <w:t>확인대상표장</w:t>
            </w:r>
          </w:p>
        </w:tc>
      </w:tr>
    </w:tbl>
    <w:p w14:paraId="1E61D0D9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2995E29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이 사안에 대하여 특허법원은 확인대상표장에서 </w:t>
      </w:r>
      <w:r w:rsidRPr="00000821">
        <w:rPr>
          <w:rFonts w:ascii="바탕체" w:eastAsia="바탕체"/>
          <w:kern w:val="0"/>
          <w:sz w:val="24"/>
          <w:szCs w:val="24"/>
        </w:rPr>
        <w:t>ⅰ</w:t>
      </w:r>
      <w:r w:rsidRPr="00000821">
        <w:rPr>
          <w:rFonts w:ascii="바탕체" w:eastAsia="바탕체"/>
          <w:kern w:val="0"/>
          <w:sz w:val="24"/>
          <w:szCs w:val="24"/>
        </w:rPr>
        <w:t xml:space="preserve">)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annie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와 gilbert 부분이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주지저명하거나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, 특별한 식별력을 가졌다고 보기 어렵고, </w:t>
      </w:r>
      <w:r w:rsidRPr="00000821">
        <w:rPr>
          <w:rFonts w:ascii="바탕체" w:eastAsia="바탕체"/>
          <w:kern w:val="0"/>
          <w:sz w:val="24"/>
          <w:szCs w:val="24"/>
        </w:rPr>
        <w:t>ⅱ</w:t>
      </w:r>
      <w:r w:rsidRPr="00000821">
        <w:rPr>
          <w:rFonts w:ascii="바탕체" w:eastAsia="바탕체"/>
          <w:kern w:val="0"/>
          <w:sz w:val="24"/>
          <w:szCs w:val="24"/>
        </w:rPr>
        <w:t xml:space="preserve">) 확인대상표장을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annie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와 gilbert로 약칭하는 사례도 찾을 수 없으며, </w:t>
      </w:r>
      <w:r w:rsidRPr="00000821">
        <w:rPr>
          <w:rFonts w:ascii="바탕체" w:eastAsia="바탕체"/>
          <w:kern w:val="0"/>
          <w:sz w:val="24"/>
          <w:szCs w:val="24"/>
        </w:rPr>
        <w:t>ⅲ</w:t>
      </w:r>
      <w:r w:rsidRPr="00000821">
        <w:rPr>
          <w:rFonts w:ascii="바탕체" w:eastAsia="바탕체"/>
          <w:kern w:val="0"/>
          <w:sz w:val="24"/>
          <w:szCs w:val="24"/>
        </w:rPr>
        <w:t xml:space="preserve">) 확인대상표장에서 gilbert가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annie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보다 비중이 높다고 볼 수 없고, </w:t>
      </w:r>
      <w:r w:rsidRPr="00000821">
        <w:rPr>
          <w:rFonts w:ascii="바탕체" w:eastAsia="바탕체"/>
          <w:kern w:val="0"/>
          <w:sz w:val="24"/>
          <w:szCs w:val="24"/>
        </w:rPr>
        <w:t>ⅳ</w:t>
      </w:r>
      <w:r w:rsidRPr="00000821">
        <w:rPr>
          <w:rFonts w:ascii="바탕체" w:eastAsia="바탕체"/>
          <w:kern w:val="0"/>
          <w:sz w:val="24"/>
          <w:szCs w:val="24"/>
        </w:rPr>
        <w:t xml:space="preserve">) gilbert만으로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호칭관념된다고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보는 것도 자연스럽지 않고 오히려 전체로서 관찰되는 것이 자연스럽다는 점을 들어 확인대상표장은 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>전체로서 관찰되어야 한다</w:t>
      </w:r>
      <w:r w:rsidRPr="00000821">
        <w:rPr>
          <w:rFonts w:ascii="바탕체" w:eastAsia="바탕체"/>
          <w:kern w:val="0"/>
          <w:sz w:val="24"/>
          <w:szCs w:val="24"/>
        </w:rPr>
        <w:t>고 판단하였습니다. 그리고 그 결과로 등록상표와 확인대상표장은 유사하지 않으며, 확인대상표장은 등록상표의 권리범위에 속하지 않는다고 판단을 내린 것입니다.</w:t>
      </w:r>
    </w:p>
    <w:p w14:paraId="762342FA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1CD5586" w14:textId="272DD296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23124696" wp14:editId="6566789C">
            <wp:extent cx="5731510" cy="2353310"/>
            <wp:effectExtent l="0" t="0" r="2540" b="889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D450" w14:textId="77777777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&lt;판결문의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전체관찰되어야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하는 이유의 판시부분&gt;</w:t>
      </w:r>
    </w:p>
    <w:p w14:paraId="071BEAB7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5508267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b/>
          <w:bCs/>
          <w:kern w:val="0"/>
          <w:sz w:val="24"/>
          <w:szCs w:val="24"/>
        </w:rPr>
        <w:t>⑤</w:t>
      </w:r>
      <w:r w:rsidRPr="00000821">
        <w:rPr>
          <w:rFonts w:ascii="바탕체" w:eastAsia="바탕체"/>
          <w:b/>
          <w:bCs/>
          <w:kern w:val="0"/>
          <w:sz w:val="24"/>
          <w:szCs w:val="24"/>
        </w:rPr>
        <w:t xml:space="preserve"> 특허법원 2018허8302 판결 등록무효(상)</w:t>
      </w:r>
    </w:p>
    <w:p w14:paraId="34B7FDE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이 사건은 아래 등록상표에 대하여 선등록의 인용상표를 근거로 상표등록의 무효를 청구한 사건입니다.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9"/>
        <w:gridCol w:w="4769"/>
      </w:tblGrid>
      <w:tr w:rsidR="00000821" w:rsidRPr="00000821" w14:paraId="107414DC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4E8AE" w14:textId="33D5F318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0F2AA0B1" wp14:editId="15AD48FE">
                  <wp:extent cx="2057400" cy="1152525"/>
                  <wp:effectExtent l="0" t="0" r="0" b="9525"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F198E" w14:textId="2FC31A14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 w:cs="바탕체"/>
                <w:kern w:val="0"/>
                <w:szCs w:val="20"/>
              </w:rPr>
            </w:pPr>
            <w:r w:rsidRPr="00000821">
              <w:rPr>
                <w:rFonts w:ascii="바탕체" w:eastAsia="바탕체" w:cs="바탕체" w:hint="eastAsia"/>
                <w:noProof/>
                <w:kern w:val="0"/>
                <w:sz w:val="2"/>
                <w:szCs w:val="2"/>
              </w:rPr>
              <w:drawing>
                <wp:inline distT="0" distB="0" distL="0" distR="0" wp14:anchorId="7163629E" wp14:editId="57A6A98B">
                  <wp:extent cx="1990725" cy="1019175"/>
                  <wp:effectExtent l="0" t="0" r="9525" b="9525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21" w:rsidRPr="00000821" w14:paraId="254218E4" w14:textId="77777777">
        <w:tblPrEx>
          <w:tblCellMar>
            <w:top w:w="0" w:type="dxa"/>
            <w:bottom w:w="0" w:type="dxa"/>
          </w:tblCellMar>
        </w:tblPrEx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0FF35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등록상표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B7270" w14:textId="77777777" w:rsidR="00000821" w:rsidRPr="00000821" w:rsidRDefault="00000821" w:rsidP="00000821">
            <w:pPr>
              <w:wordWrap/>
              <w:adjustRightInd w:val="0"/>
              <w:spacing w:after="0" w:line="312" w:lineRule="auto"/>
              <w:jc w:val="center"/>
              <w:rPr>
                <w:rFonts w:ascii="바탕체" w:eastAsia="바탕체"/>
                <w:kern w:val="0"/>
                <w:sz w:val="24"/>
                <w:szCs w:val="24"/>
              </w:rPr>
            </w:pPr>
            <w:r w:rsidRPr="00000821">
              <w:rPr>
                <w:rFonts w:ascii="바탕체" w:eastAsia="바탕체"/>
                <w:kern w:val="0"/>
                <w:szCs w:val="20"/>
              </w:rPr>
              <w:t>인용상표(선등록상표)</w:t>
            </w:r>
          </w:p>
        </w:tc>
      </w:tr>
    </w:tbl>
    <w:p w14:paraId="73C1B36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690B4DD4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이 사건에서 특허법원은 아래를 이유로 인용상표 "상쾌한 하루"가 전체로서 관찰되어야 하고, 하루가 요부를 구성하지 않으며 따라서 등록상표 "하루"와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유사하지 않다고 판단을 하였습니다.</w:t>
      </w:r>
    </w:p>
    <w:p w14:paraId="71B5A3D7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05B698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b/>
          <w:bCs/>
          <w:kern w:val="0"/>
          <w:sz w:val="24"/>
          <w:szCs w:val="24"/>
        </w:rPr>
        <w:t>- 아래 -</w:t>
      </w:r>
    </w:p>
    <w:p w14:paraId="2DECA57B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A952B0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(1) 먼저 '하루'라는 문자부분이 </w:t>
      </w:r>
      <w:proofErr w:type="gramStart"/>
      <w:r w:rsidRPr="00000821">
        <w:rPr>
          <w:rFonts w:ascii="바탕체" w:eastAsia="바탕체"/>
          <w:kern w:val="0"/>
          <w:sz w:val="24"/>
          <w:szCs w:val="24"/>
        </w:rPr>
        <w:t>주지.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저명하다거나</w:t>
      </w:r>
      <w:proofErr w:type="spellEnd"/>
      <w:proofErr w:type="gramEnd"/>
      <w:r w:rsidRPr="00000821">
        <w:rPr>
          <w:rFonts w:ascii="바탕체" w:eastAsia="바탕체"/>
          <w:kern w:val="0"/>
          <w:sz w:val="24"/>
          <w:szCs w:val="24"/>
        </w:rPr>
        <w:t xml:space="preserve"> 일반 수요자에게 강한 인상을 주는 부분이라고 볼 만한 아무런 자료가 없다.</w:t>
      </w:r>
    </w:p>
    <w:p w14:paraId="77A1D44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(2) 그리고 선등록상표를 구성하는 전체 문자는 5음절에 불과한데, 그 중에서 '하</w:t>
      </w:r>
    </w:p>
    <w:p w14:paraId="165AD031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루'라는 2음절의 문자부분이 다른 구성 부분인 3음절의 '상쾌한'과의 결합상태와 정도에 비추어 전체 상표에서 높은 비중을 차지하는 부분이라고 보기도 어렵다.</w:t>
      </w:r>
    </w:p>
    <w:p w14:paraId="34F19416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(3) 나아가 '하루'라는 문자부분이 다른 구성 부분인 '상쾌한'이라는 문자부분과 비교할 때 상대적인 식별력 수준이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높다거나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, 지정상품과의 관계 및 거래실정 등에 비추어 독립하여 상품의 출처표시기능을 수행한다고 보기도 어렵다.</w:t>
      </w:r>
    </w:p>
    <w:p w14:paraId="32CAD0E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(가) '상쾌한'이라는 문자부분은 '느낌이 시원하고 산뜻하다'라는 뜻으로 선등록상표의 지정상품인 의료용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온열팩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, 의료용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냉팩과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관련하여 신체온도를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높이거나 낮추는 등에 의한 통증완화에 따라 사용자가 받는 주관적 감정을 표현하는 데에 그친다. 따라서 '상쾌한' 부분 자체로 통증완화라는 지정상품의 효능을 어느 정도 암시 또는 강조하는 것을 넘어서 이를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직감시킨다고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볼 수는 없다. 또한 '하루'라는 문자부분도 위 지정상품과 관련하여 통증완화라는 효능의 '지속기간'을 어느 정도 암시 또는 강조하는 것을 넘어서 이를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직감시킨다고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볼 수 없다. 이와 같이 양 구성부분은 지정상품과의 관계에서 식별력이 부정될 수 없음은 마찬가지이고, 그 사이에 상대적인 식별력의 우열이 있다고 보이지 아니한다.</w:t>
      </w:r>
    </w:p>
    <w:p w14:paraId="29BC2D1E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(나) 갑 제10호증의 기재에 의하면, 2016년 5월경 발행된 '순차적 냉온요법이 척추 수술 후 통증과 통증 조절 만족도, 안위, 주관적 반응에 미치는 효과'라는 제목의 논문에 '통증은 생리적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현상이라기보다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심리적, 사회적, 문화적, 환경적 요인이 복합적으로 영향을 미친 결과'라는 내용이 게재되어 있는 사실을 인정할 수 있지만, 그러한 사정만으로는 위 '상쾌한'이라는 문자부분 등에 관한 위와 같은 판단에 장애가 되지 아니한다.</w:t>
      </w:r>
    </w:p>
    <w:p w14:paraId="331BA886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(다) 선등록상표가 등록상표의 등록일 당시 '하루'라는 문자부분만으로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호칭되거나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관념되었다고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볼 만한 자료가 없다. 오히려 '상쾌한'이라는 문자부분이 이어오는 '하루'라는 문자부분과 관념적으로 결합하여 전체적으로 일반 수요자에게 </w:t>
      </w:r>
      <w:r w:rsidRPr="00000821">
        <w:rPr>
          <w:rFonts w:ascii="바탕체" w:eastAsia="바탕체"/>
          <w:kern w:val="0"/>
          <w:sz w:val="24"/>
          <w:szCs w:val="24"/>
        </w:rPr>
        <w:t>‘</w:t>
      </w:r>
      <w:r w:rsidRPr="00000821">
        <w:rPr>
          <w:rFonts w:ascii="바탕체" w:eastAsia="바탕체"/>
          <w:kern w:val="0"/>
          <w:sz w:val="24"/>
          <w:szCs w:val="24"/>
        </w:rPr>
        <w:t>느낌이 시원하고 산뜻한 하루'라는 일체화된 의미로 인식된다고 보인다.</w:t>
      </w:r>
    </w:p>
    <w:p w14:paraId="471CE13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9F9C2B8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5. 본건 상표의 『KUKDAE』부분에 대하여:</w:t>
      </w:r>
    </w:p>
    <w:p w14:paraId="3DAFD35A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D4BFA9D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(1) 본건 상표는 "KUKDAE"부분을 가지는데 이 부분의 발음이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"로서 이 부분을 요부로 삼아 인용상표들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, 국대들과 유사하다고 거절이유를 통지한 것이라 할 것입니다.</w:t>
      </w:r>
    </w:p>
    <w:p w14:paraId="06DA277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A29A0B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(2) 그런데,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"는 국가대표를 뜻하는 말입니다. </w:t>
      </w:r>
    </w:p>
    <w:p w14:paraId="2A06FF5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97F9B3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1) 우선 아래는 네이버 국어사전과 나무위키의 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'에 대한 해설을 보입니다. 명백히 국어사전은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국대를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국가대표의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줄임말로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명시하고 있습니다.</w:t>
      </w:r>
    </w:p>
    <w:p w14:paraId="5F72F75B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8883E7D" w14:textId="1C150374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CCB29B5" wp14:editId="3C7CD570">
            <wp:extent cx="5029200" cy="2847975"/>
            <wp:effectExtent l="0" t="0" r="0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38D8" w14:textId="77777777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/>
          <w:kern w:val="0"/>
          <w:sz w:val="24"/>
          <w:szCs w:val="24"/>
        </w:rPr>
        <w:t>&lt;네이버 국어</w:t>
      </w:r>
      <w:r w:rsidRPr="00000821">
        <w:rPr>
          <w:rFonts w:ascii="바탕체" w:eastAsia="바탕체" w:cs="바탕체" w:hint="eastAsia"/>
          <w:kern w:val="0"/>
          <w:sz w:val="24"/>
          <w:szCs w:val="24"/>
        </w:rPr>
        <w:t>사전의</w:t>
      </w:r>
      <w:r w:rsidRPr="00000821">
        <w:rPr>
          <w:rFonts w:ascii="바탕체" w:eastAsia="바탕체" w:cs="바탕체"/>
          <w:kern w:val="0"/>
          <w:sz w:val="24"/>
          <w:szCs w:val="24"/>
        </w:rPr>
        <w:t xml:space="preserve"> </w:t>
      </w:r>
      <w:proofErr w:type="spellStart"/>
      <w:r w:rsidRPr="00000821">
        <w:rPr>
          <w:rFonts w:ascii="바탕체" w:eastAsia="바탕체" w:cs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 w:cs="바탕체"/>
          <w:kern w:val="0"/>
          <w:sz w:val="24"/>
          <w:szCs w:val="24"/>
        </w:rPr>
        <w:t xml:space="preserve"> 검색결과&gt;</w:t>
      </w:r>
    </w:p>
    <w:p w14:paraId="04DBA4D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794F9502" w14:textId="5ABDB8E1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690BC437" wp14:editId="021AD72E">
            <wp:extent cx="4905375" cy="4067175"/>
            <wp:effectExtent l="0" t="0" r="9525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63CF" w14:textId="77777777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/>
          <w:kern w:val="0"/>
          <w:sz w:val="24"/>
          <w:szCs w:val="24"/>
        </w:rPr>
        <w:t xml:space="preserve">&lt;나무위키의 </w:t>
      </w:r>
      <w:proofErr w:type="spellStart"/>
      <w:r w:rsidRPr="00000821">
        <w:rPr>
          <w:rFonts w:ascii="바탕체" w:eastAsia="바탕체" w:cs="바탕체"/>
          <w:kern w:val="0"/>
          <w:sz w:val="24"/>
          <w:szCs w:val="24"/>
        </w:rPr>
        <w:t>국대검색</w:t>
      </w:r>
      <w:r w:rsidRPr="00000821">
        <w:rPr>
          <w:rFonts w:ascii="바탕체" w:eastAsia="바탕체" w:cs="바탕체" w:hint="eastAsia"/>
          <w:kern w:val="0"/>
          <w:sz w:val="24"/>
          <w:szCs w:val="24"/>
        </w:rPr>
        <w:t>결과</w:t>
      </w:r>
      <w:proofErr w:type="spellEnd"/>
      <w:r w:rsidRPr="00000821">
        <w:rPr>
          <w:rFonts w:ascii="바탕체" w:eastAsia="바탕체" w:cs="바탕체"/>
          <w:kern w:val="0"/>
          <w:sz w:val="24"/>
          <w:szCs w:val="24"/>
        </w:rPr>
        <w:t>&gt;</w:t>
      </w:r>
    </w:p>
    <w:p w14:paraId="1246069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2377BB94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2) 이미 국어사전이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의미를 국가대표로 풀이하고 있으며, 이와 같이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국가대표의 의미임이 명백하다 할 것이지만, (갑) 제1호증과 (갑) 제2호증으로 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'에 대한 구글과 네이버의 검색결과를 제출하며, 이들을 아래에서 일부 보입니다. 구글과 네이버 각각에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를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입력하여 검색하면 모두 국가대표를 의미하는 것으로 검색이 되며, 이것은 명백히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국가대표로서 통용됨을 보이고 있습니다.</w:t>
      </w:r>
    </w:p>
    <w:p w14:paraId="4363E5B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A71A714" w14:textId="3AA0EA3D" w:rsidR="00000821" w:rsidRPr="00000821" w:rsidRDefault="00000821" w:rsidP="00000821">
      <w:pPr>
        <w:wordWrap/>
        <w:adjustRightInd w:val="0"/>
        <w:spacing w:after="0" w:line="672" w:lineRule="auto"/>
        <w:jc w:val="center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3736C6B" wp14:editId="2DA55454">
            <wp:extent cx="5731510" cy="4060825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38A2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rPr>
          <w:rFonts w:ascii="바탕체" w:eastAsia="바탕체"/>
          <w:kern w:val="0"/>
          <w:sz w:val="24"/>
          <w:szCs w:val="24"/>
        </w:rPr>
      </w:pPr>
    </w:p>
    <w:p w14:paraId="5F78A701" w14:textId="6F1C66CF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E12F0B3" wp14:editId="6835B2E2">
            <wp:extent cx="5731510" cy="114427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B63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07A488E" w14:textId="63E2AAA3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7A90D32" wp14:editId="0CD509B9">
            <wp:extent cx="5705475" cy="1219200"/>
            <wp:effectExtent l="0" t="0" r="9525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2AA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1F6416C" w14:textId="2F29EA6D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6B6C0EE7" wp14:editId="20AD307D">
            <wp:extent cx="5731510" cy="2778125"/>
            <wp:effectExtent l="0" t="0" r="2540" b="317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B70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DD19B58" w14:textId="607A0112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B84A8A8" wp14:editId="3B5900A1">
            <wp:extent cx="5731510" cy="1338580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7414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30F1FE0" w14:textId="4D872301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B470EDF" wp14:editId="63339926">
            <wp:extent cx="5731510" cy="1024255"/>
            <wp:effectExtent l="0" t="0" r="2540" b="444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8A8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B3E033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50E242E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A8ED253" w14:textId="32AC52CD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101252B0" wp14:editId="00C22259">
            <wp:extent cx="5731510" cy="5463540"/>
            <wp:effectExtent l="0" t="0" r="2540" b="381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9D49" w14:textId="07D671ED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9FADCF7" wp14:editId="3F0A43C3">
            <wp:extent cx="5731510" cy="1144270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B8E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BC78FC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1E268C7" w14:textId="6AA3615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17FBBDF5" wp14:editId="37F91B91">
            <wp:extent cx="5731510" cy="3996055"/>
            <wp:effectExtent l="0" t="0" r="2540" b="444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A84B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B215171" w14:textId="0E46773C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FB32BC2" wp14:editId="52011319">
            <wp:extent cx="5731510" cy="1181100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3F7B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7162CF1" w14:textId="1E0ACFF8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7A27D75" wp14:editId="712B1D2A">
            <wp:extent cx="5731510" cy="114427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22E5" w14:textId="4E98CC4A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7FB3AC05" wp14:editId="6FF96B5D">
            <wp:extent cx="5731510" cy="1209040"/>
            <wp:effectExtent l="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8314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1BB98F0" w14:textId="4B780B8A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ADB36B3" wp14:editId="6D540606">
            <wp:extent cx="5731510" cy="5602605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26F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2CFEF7C" w14:textId="54CA7F4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36CE46AC" wp14:editId="7673D54A">
            <wp:extent cx="5731510" cy="1144270"/>
            <wp:effectExtent l="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42C9" w14:textId="3A752D2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2279FF91" wp14:editId="6401F732">
            <wp:extent cx="5133975" cy="63531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F197" w14:textId="6CC5031E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3D4E114D" wp14:editId="419E30DA">
            <wp:extent cx="5305425" cy="1285875"/>
            <wp:effectExtent l="0" t="0" r="952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D5C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2039F77" w14:textId="335299F4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6FA9694" wp14:editId="4E627C97">
            <wp:extent cx="5476875" cy="5705475"/>
            <wp:effectExtent l="0" t="0" r="9525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98673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877CB09" w14:textId="6D9DD8CB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066FA348" wp14:editId="5B29CCAC">
            <wp:extent cx="5731510" cy="1402715"/>
            <wp:effectExtent l="0" t="0" r="2540" b="698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4E96A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56B7CD8" w14:textId="7EB4905B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3D7A9D9" wp14:editId="54F2B91E">
            <wp:extent cx="5731510" cy="579628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558B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35B7EA1" w14:textId="7784B56E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039B8F26" wp14:editId="781923F0">
            <wp:extent cx="5731510" cy="5860415"/>
            <wp:effectExtent l="0" t="0" r="2540" b="698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A4C1" w14:textId="277E1B11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1CF69D1" wp14:editId="758C6EA8">
            <wp:extent cx="5400675" cy="1219200"/>
            <wp:effectExtent l="0" t="0" r="952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57C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B5A5B11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(3) 이와 같이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국가대표를 의미하는데, 국가대표와 관련되어서는 많은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심사예들이 식별력을 부인하고 있습니다. 즉 </w:t>
      </w:r>
      <w:r w:rsidRPr="00000821">
        <w:rPr>
          <w:rFonts w:ascii="바탕체" w:eastAsia="바탕체"/>
          <w:kern w:val="0"/>
          <w:sz w:val="24"/>
          <w:szCs w:val="24"/>
          <w:u w:val="single"/>
        </w:rPr>
        <w:t>국가를 대표할 정도로 품질이 우수</w:t>
      </w:r>
      <w:r w:rsidRPr="00000821">
        <w:rPr>
          <w:rFonts w:ascii="바탕체" w:eastAsia="바탕체"/>
          <w:kern w:val="0"/>
          <w:sz w:val="24"/>
          <w:szCs w:val="24"/>
        </w:rPr>
        <w:t>하다는 것을 표시하는 것으로서 식별력이 없다고 판단하는 것입니다. 이들 자료를 (갑) 3호증으로부터 (갑) 13호증까지로 제출하며 그 중 일부를 아래에서 보입니다.</w:t>
      </w:r>
    </w:p>
    <w:p w14:paraId="246452A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7C2877D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40-2014-0020420의 거절이유:</w:t>
      </w:r>
    </w:p>
    <w:p w14:paraId="3CD48533" w14:textId="0791C3CB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D1B3592" wp14:editId="48267CE2">
            <wp:extent cx="5267325" cy="31146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D79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18A4C98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40-2015-0047424의 거절이유:</w:t>
      </w:r>
    </w:p>
    <w:p w14:paraId="11A943A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5952EBE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72EF707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FC7B6BD" w14:textId="69416583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67E2CFD2" wp14:editId="05109C1B">
            <wp:extent cx="5638800" cy="2638425"/>
            <wp:effectExtent l="0" t="0" r="0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396A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2397FA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40-2016-0083370의 거절이유:</w:t>
      </w:r>
    </w:p>
    <w:p w14:paraId="62E33C73" w14:textId="53D89DA8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034B9B74" wp14:editId="7EC12C97">
            <wp:extent cx="5731510" cy="3405505"/>
            <wp:effectExtent l="0" t="0" r="2540" b="444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019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CB1A4D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40-2017-0049149의 거절이유:</w:t>
      </w:r>
    </w:p>
    <w:p w14:paraId="660DF73D" w14:textId="509CADF0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697521D" wp14:editId="624372EC">
            <wp:extent cx="5731510" cy="327660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DA45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40C4D40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lastRenderedPageBreak/>
        <w:t>상표출원번호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40-2017-0020197의 거절이유:</w:t>
      </w:r>
    </w:p>
    <w:p w14:paraId="16FC7555" w14:textId="46983C69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635D303" wp14:editId="5C6C6CD6">
            <wp:extent cx="5438775" cy="3343275"/>
            <wp:effectExtent l="0" t="0" r="9525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F2B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 w:cs="바탕체" w:hint="eastAsia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 w:cs="바탕체"/>
          <w:kern w:val="0"/>
          <w:sz w:val="24"/>
          <w:szCs w:val="24"/>
          <w:u w:val="single"/>
        </w:rPr>
        <w:t xml:space="preserve"> 40-2017-0157711의 거절이유:</w:t>
      </w:r>
    </w:p>
    <w:p w14:paraId="73C4BF66" w14:textId="6F79D5F5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09ED1EEF" wp14:editId="2238935B">
            <wp:extent cx="5372100" cy="2867025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AE5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 w:cs="바탕체" w:hint="eastAsia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 w:cs="바탕체"/>
          <w:kern w:val="0"/>
          <w:sz w:val="24"/>
          <w:szCs w:val="24"/>
          <w:u w:val="single"/>
        </w:rPr>
        <w:t xml:space="preserve"> 40-2019-0027173의 거절이유</w:t>
      </w:r>
    </w:p>
    <w:p w14:paraId="4F00AE1A" w14:textId="1FE1CA80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68C85CF6" wp14:editId="5E1D2A04">
            <wp:extent cx="5610225" cy="360997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FB8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7745875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40-2019-0124538의 거절이유:</w:t>
      </w:r>
    </w:p>
    <w:p w14:paraId="55725D1D" w14:textId="7B8CB2C8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69A334AA" wp14:editId="08713F0E">
            <wp:extent cx="5731510" cy="3608705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0ED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925C1E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(4) 이와 같이 국가대표는 국가를 대표할 정도로 품질이 우수하다는 것을 직감하는 것으로서 식별력이 부인되고 있는데, 더불어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"에 대해서도 식별력이 부인되고 있습니다. 즉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국가대표의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줄임말로서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국가대표와 마찬가지로 국가를 대표할 정도로 품질이 우수하다는 것을 직감하는 것에 불과하다고 하여 그 식별력을 부인하고 있는 것입니다. 이들 사례들을 (갑) 제14호증에서 (갑) 제21호증으로 제출하며 그 중 일부의 사례들을 아래에서 보입니다. </w:t>
      </w:r>
    </w:p>
    <w:p w14:paraId="688D56D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1489933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929E40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proofErr w:type="spellStart"/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상표출원번호</w:t>
      </w:r>
      <w:proofErr w:type="spellEnd"/>
      <w:r w:rsidRPr="00000821">
        <w:rPr>
          <w:rFonts w:ascii="바탕체" w:eastAsia="바탕체"/>
          <w:kern w:val="0"/>
          <w:sz w:val="24"/>
          <w:szCs w:val="24"/>
          <w:u w:val="single"/>
        </w:rPr>
        <w:t xml:space="preserve"> 40-2023-0020785의 거절이유:</w:t>
      </w:r>
    </w:p>
    <w:p w14:paraId="471D208E" w14:textId="6317F561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5283BCB" wp14:editId="2C80C525">
            <wp:extent cx="4829175" cy="236220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BCC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D350C4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* 특별히 이건의 경우, 아래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사례들도『국대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</w:t>
      </w:r>
      <w:proofErr w:type="gramStart"/>
      <w:r w:rsidRPr="00000821">
        <w:rPr>
          <w:rFonts w:ascii="바탕체" w:eastAsia="바탕체"/>
          <w:kern w:val="0"/>
          <w:sz w:val="24"/>
          <w:szCs w:val="24"/>
        </w:rPr>
        <w:t>』,『</w:t>
      </w:r>
      <w:proofErr w:type="gramEnd"/>
      <w:r w:rsidRPr="00000821">
        <w:rPr>
          <w:rFonts w:ascii="바탕체" w:eastAsia="바탕체"/>
          <w:kern w:val="0"/>
          <w:sz w:val="24"/>
          <w:szCs w:val="24"/>
        </w:rPr>
        <w:t>국가대표 』에 대하여 식별력을 부인하여 거절하였음을 부연하고 있습니다.</w:t>
      </w:r>
    </w:p>
    <w:p w14:paraId="37253F3C" w14:textId="0E2A5CC2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638AB303" wp14:editId="6B82A615">
            <wp:extent cx="5731510" cy="196596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BE29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D46EACE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4AADEB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4A2EF25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612CD1E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 40-2023-0020101의 거절이유:</w:t>
      </w:r>
    </w:p>
    <w:p w14:paraId="1A53BA83" w14:textId="54EFC0F1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5B0252E1" wp14:editId="0F9EAA16">
            <wp:extent cx="4219575" cy="290512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F96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73B892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 40-2021-0126794의 거절이유:</w:t>
      </w:r>
    </w:p>
    <w:p w14:paraId="1209DD70" w14:textId="7351C51D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033264F3" wp14:editId="46061B4A">
            <wp:extent cx="3952875" cy="3238500"/>
            <wp:effectExtent l="0" t="0" r="952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C89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A9CE7F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  <w:u w:val="single"/>
        </w:rPr>
        <w:t>상표출원 40-2024-0073138의 거절이유:</w:t>
      </w:r>
    </w:p>
    <w:p w14:paraId="607C63D2" w14:textId="628B1A2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F575E46" wp14:editId="6E919842">
            <wp:extent cx="3914775" cy="300990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4EC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2EFDEF7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(5) 이와 같이, 『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국대』에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대하여 살펴보면 아래의 사실들을 알 수 있습니다.</w:t>
      </w:r>
    </w:p>
    <w:p w14:paraId="47495A95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424F074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첫째,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"국가대표"의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줄임말로서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, 국가대표의 의미로 통용되는 단어이다.</w:t>
      </w:r>
    </w:p>
    <w:p w14:paraId="78297950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둘째, "국가대표"는 품질표시로서 식별력이 부인되고 있다.</w:t>
      </w:r>
    </w:p>
    <w:p w14:paraId="6A1FF6D5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셋째,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"도 식별력이 부인되고 있다.</w:t>
      </w:r>
    </w:p>
    <w:p w14:paraId="674D447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A49339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6. 본건 상표 『KUKDAESTAR1』은 어떻게 관찰하여야 하는가? (수요자는 『KUKDAESTAR1』을 어떻게 인식할 것인가?)</w:t>
      </w:r>
    </w:p>
    <w:p w14:paraId="054D334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DB5C5B8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(1) 본건 상표에 대한 거절이유는 "KUKDAE"를 요부로 보고 있는데 아마도 그 근거는 STAR가 상대적으로 식별력이 약한 것에 기인한다고 할 것입니다. 즉 25류와 관련되어 많은 수의 STAR를 포함하는 상표들이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등록되어있으며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, 이에 따라서 STAR의 식별력을 약하게 판단하고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"의 식별력을 상대적으로 높게 평가한 결과라 할 것입니다.</w:t>
      </w:r>
    </w:p>
    <w:p w14:paraId="416F1F4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F0EBA62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(2) 그러나 전술한 바와 같이 "KUKDAE"의 발음인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"는 국가대표를 의미하는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말로서, 국가대표의 식별력이 부인됨에 따라, 이 또한 그 식별력이 부인되는 것이 자연스럽다 할 것입니다. 이에 따라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"에 대하여 식별력을 부인하는 심사사례들이 나오고 있다 할 것입니다. 관련되어 본건 인용상표는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식별력이 인정되어 등록을 받았고 이외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식별력을 인정받아 등록된 사례들이 있습니다. 하지만, 이들 사례들은 오래전에 등록되어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현재와 같이 국가대표를 의미하는 말로 통용되기 이전에 등록이 되었거나 (실제로 인용상표들은 2011년 등록이 된 것입니다.) 또는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국가대표를 의미하는 말로 통용되어 식별력이 약하다는 사실을 간과하여 등록된 것으로 보는 것이 옳다고 할 것입니다.</w:t>
      </w:r>
    </w:p>
    <w:p w14:paraId="53111D2A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298ACB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(3) 그러나, 적어도,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국가대표의 의미로서 국가를 대표할 정도의 우수한 품질이라는 연상을 일으키는 것으로서 그 식별력을 높게 볼 수 있는 것은 아니라 할 것입니다. 분명히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주지저명한 것이 아닌 것이며, 여러 심사예들이 식별력을 부인하고 있는 것으로서 이 부분의 식별력을 높게 볼 수는 없다고 할 것입니다.</w:t>
      </w:r>
    </w:p>
    <w:p w14:paraId="46280915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8F1417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(4) 한편으로 본건 상표의 한글발음은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1" 정도로서, 이것은 "국가대표급의 스타" 정도의 일체의 관념을 형성하고 있으며, 여기서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수식어로서 국가를 대표하는 우수한 품질을 연상시키는 것에 지나지 않음을 부인할 수 없다고 할 것입니다. </w:t>
      </w:r>
    </w:p>
    <w:p w14:paraId="2A698671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D575B78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(5) 전술한 특허법원 2019허5881 등록무효(상) 판결에서 『매일밥상 vs MAEIL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매일』의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유사여부와 관련되어, 등록상표 "매일밥상"에 대하여, "매일"이 수식어로서, '매일 먹는' 또는 '매일 먹으면 좋은' 등의 사용시기를 연상시키고, 의미상의 보편성으로 독점적응성이 낮아 식별력이 낮다고 판단하였다는 점에 주목할 필요가 있다고 할 것입니다. </w:t>
      </w:r>
    </w:p>
    <w:p w14:paraId="0B5CC9D6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1B7D5E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마찬가지로 본건 상표에서 국대라는 발음은 국가를 대표하는 품질을 연상시키는 수식어로서 작용하는 것에 불과한 것으로서 이 부분의 식별력을 높게 볼 수는 없다고 할 것입니다.</w:t>
      </w:r>
    </w:p>
    <w:p w14:paraId="049603D8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A1E31C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(6) 이와 같이 본건 상표에서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식별력을 높게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볼수는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없다고 할 것입니다. 한편으로 스타도 식별력을 높다고 할 수는 없을 것으로서, 본건 상표는 전체로서 관찰되는 것이 옳다고 할 것입니다. </w:t>
      </w:r>
    </w:p>
    <w:p w14:paraId="4368E55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2A32484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(7) 한편으로 실제로 『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국대스타』는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국대급의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스타 또는 국가대표중의 스타의 의미로서 뉴스기사에서 사용되고 있음일 발견됩니다. 이것은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일체의 관념을 형성하는 것을 보이는 증거라 할 것입니다.</w:t>
      </w:r>
    </w:p>
    <w:p w14:paraId="660C3F75" w14:textId="029F05D4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15C86C6A" wp14:editId="240583D3">
            <wp:extent cx="5514975" cy="115252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6004" w14:textId="4236A801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44F3E5D7" wp14:editId="290BBBF6">
            <wp:extent cx="5731510" cy="228917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lastRenderedPageBreak/>
        <w:drawing>
          <wp:inline distT="0" distB="0" distL="0" distR="0" wp14:anchorId="5BC53FF2" wp14:editId="31CE5A0A">
            <wp:extent cx="5731510" cy="137541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649A" w14:textId="2FE009C4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93314C2" wp14:editId="42FAF043">
            <wp:extent cx="5731510" cy="1439545"/>
            <wp:effectExtent l="0" t="0" r="254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3831" w14:textId="50DCA7F9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77B03B41" wp14:editId="738BAF9A">
            <wp:extent cx="5731510" cy="1504315"/>
            <wp:effectExtent l="0" t="0" r="2540" b="63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9E3E" w14:textId="6D34488D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3EDE1237" wp14:editId="48A496A6">
            <wp:extent cx="5731510" cy="1541145"/>
            <wp:effectExtent l="0" t="0" r="254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A6D7" w14:textId="25D925B2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 w:cs="바탕체"/>
          <w:kern w:val="0"/>
          <w:sz w:val="24"/>
          <w:szCs w:val="24"/>
        </w:rPr>
      </w:pPr>
      <w:r w:rsidRPr="00000821">
        <w:rPr>
          <w:rFonts w:ascii="바탕체" w:eastAsia="바탕체" w:cs="바탕체" w:hint="eastAsia"/>
          <w:noProof/>
          <w:kern w:val="0"/>
          <w:sz w:val="2"/>
          <w:szCs w:val="2"/>
        </w:rPr>
        <w:drawing>
          <wp:inline distT="0" distB="0" distL="0" distR="0" wp14:anchorId="686DAD82" wp14:editId="738DE6B8">
            <wp:extent cx="5731510" cy="1477010"/>
            <wp:effectExtent l="0" t="0" r="254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3263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288E737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(8) 참고적으로,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유사군코드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G1004의 상품과 관련되어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"와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"는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나란히 병존하여 등록이 되어있습니다. 즉 상표등록번호 4016778700000의 『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』(상표권자: 주식회사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다나을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)와 상표등록번호 4020812730000의 『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』(상표권자: 주식회사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모든헬스케어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)는 제5류의 동일한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유사군코드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G1004의 상품들에 대하여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공통됨에도 불구하고 병존하여 등록이 된 것입니다. 이것은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전체로서 관찰되어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유사하지 않게 판단된 결과라 할 것입니다.</w:t>
      </w:r>
    </w:p>
    <w:p w14:paraId="091B0E5D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6E02B01E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7. 본건 상표와 인용상표는 과연 출처의 혼동을 일으킬 정도로 유사한가?</w:t>
      </w:r>
    </w:p>
    <w:p w14:paraId="782B60C9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32D02D2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(1) 주지된 바와 같이 상표가 유사하다는 것은 단순히 상표가 비슷하다는 것이 아니라 상표가 출처의 혼동을 일으킬 정도로 비슷하다는 것을 말한다 할 것입니다. 즉 상표의 유사라는 것은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출처혼동의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관점에서 판단되는 것이라 할 것입니다.</w:t>
      </w:r>
    </w:p>
    <w:p w14:paraId="60D1F93F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253C03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(2) 기본적으로 본건 상표는 "국가대표급의 스타</w:t>
      </w:r>
      <w:proofErr w:type="gramStart"/>
      <w:r w:rsidRPr="00000821">
        <w:rPr>
          <w:rFonts w:ascii="바탕체" w:eastAsia="바탕체"/>
          <w:kern w:val="0"/>
          <w:sz w:val="24"/>
          <w:szCs w:val="24"/>
        </w:rPr>
        <w:t>" 의</w:t>
      </w:r>
      <w:proofErr w:type="gramEnd"/>
      <w:r w:rsidRPr="00000821">
        <w:rPr>
          <w:rFonts w:ascii="바탕체" w:eastAsia="바탕체"/>
          <w:kern w:val="0"/>
          <w:sz w:val="24"/>
          <w:szCs w:val="24"/>
        </w:rPr>
        <w:t xml:space="preserve"> 일체화된 관념을 지니는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것으로서 국대만으로 분리하여 인식된다고 상정하는 것이 매우 곤란합니다.</w:t>
      </w:r>
    </w:p>
    <w:p w14:paraId="12033357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FD54D3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이에 더하여,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국가대표를 의미하며, 국가대표가 식별력이 부인됨에 따라 그 식별력이 부인되는 것이 자연스럽다 할 것으로서, 비록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식별력이 인정받아 등록된 사례가 있다고 하여도,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식별력을 부인하는 심사례들이 점차 나오기 시작하는 것으로서 적어도 식별력을 높게 볼 수는 없고 낮게 보는 것이 옳다고 할 것입니다.</w:t>
      </w:r>
    </w:p>
    <w:p w14:paraId="55005B86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09C3F907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이러한 상황에 더하여,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"에서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국대는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스타를 수식하는 수식어로서 품질의 우수성을 연상시킨다는 점을 고려하고, 스타의 식별력도 약하다는 점까지 고려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할때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"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"는 일체로서 관찰된다고 판단하는 것이 지극히 합리적이라고 할 것입니다. </w:t>
      </w:r>
    </w:p>
    <w:p w14:paraId="3E3530C0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199BF9DD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(3) 이렇게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식별력이 높지 않은 점,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일체로서 관찰되는 점을 고려할 때, 본건 상표가 인용상표와 출처의 혼동을 일으킬 것이라고 상상하기는 </w:t>
      </w:r>
      <w:r w:rsidRPr="00000821">
        <w:rPr>
          <w:rFonts w:ascii="바탕체" w:eastAsia="바탕체"/>
          <w:kern w:val="0"/>
          <w:sz w:val="24"/>
          <w:szCs w:val="24"/>
        </w:rPr>
        <w:lastRenderedPageBreak/>
        <w:t>어렵다고 할 것입니다. 즉 외관상으로 본건 상표와 인용상표는 너무 다르고, 관념도 완전히 다르며, 호칭도 다른 것으로서 이 두개의 상표를 혼동하여 출처를 오인한다는 것은 있을 수 없는 일이라 할 것입니다.</w:t>
      </w:r>
    </w:p>
    <w:p w14:paraId="0FCD4B09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51C45124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(4) 한편으로 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'는 단순히 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'에 '스타'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를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덧붙인 것이 아니라, 이를 결합하여 새로운 의미를 형성하여 일체로서 의미를 형성하는 것입니다. 즉 일반 수요자들은 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국대스타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를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국가대표라는 일반적인 표현이 아니라, "국가대표급의 스타" 혹은 "국가대표 수준의 탁월함을 가진 인물"로 이해할 가능성이 높으며, 이는 단순히 '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>'와는 전혀 다른 새로운 관념을 형성한다는 점에서 두 상표는 혼동의 여지가 없다고 할 것입니다.</w:t>
      </w:r>
    </w:p>
    <w:p w14:paraId="7369A6B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 </w:t>
      </w:r>
    </w:p>
    <w:p w14:paraId="372ED0F8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(5) 이와 같이 본건 상표와 인용상표는 출처의 혼동이 있을 수 없는 것이고 양자는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비유사하다고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할 것입니다.</w:t>
      </w:r>
    </w:p>
    <w:p w14:paraId="1A137D02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8AF7111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8. 결론</w:t>
      </w:r>
    </w:p>
    <w:p w14:paraId="7D9193F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lastRenderedPageBreak/>
        <w:t xml:space="preserve">이와 같이 본건 상표는 인용상표들과 유사하지 않다고 할 것입니다.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그러하오니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재심사하시어 출원공고결정을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내려주시기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바랍니다.</w:t>
      </w:r>
    </w:p>
    <w:p w14:paraId="54E6F94C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3BF6AED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  <w:u w:val="single"/>
        </w:rPr>
        <w:t>증거자료:</w:t>
      </w:r>
    </w:p>
    <w:p w14:paraId="019EBDA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1. (갑) 제1호증: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구글검색결과</w:t>
      </w:r>
    </w:p>
    <w:p w14:paraId="41DEB56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2. (갑) 제2호증: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국대의</w:t>
      </w:r>
      <w:proofErr w:type="spellEnd"/>
      <w:r w:rsidRPr="00000821">
        <w:rPr>
          <w:rFonts w:ascii="바탕체" w:eastAsia="바탕체"/>
          <w:kern w:val="0"/>
          <w:sz w:val="24"/>
          <w:szCs w:val="24"/>
        </w:rPr>
        <w:t xml:space="preserve"> 네이버검색결과</w:t>
      </w:r>
    </w:p>
    <w:p w14:paraId="17E2861E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3. (갑) 제3호증: 40-2014-0020420 의견제출통지서</w:t>
      </w:r>
    </w:p>
    <w:p w14:paraId="683FED56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4. (갑) 제4호증: 40-2022-0024760 의견제출통지서</w:t>
      </w:r>
    </w:p>
    <w:p w14:paraId="7780DE2C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5. (갑) 제5호증: 40-2015-0047424 의견제출통지서</w:t>
      </w:r>
    </w:p>
    <w:p w14:paraId="25D82756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6. (갑) 제6호증: 40-2016-0083370 의견제출통지서</w:t>
      </w:r>
    </w:p>
    <w:p w14:paraId="7069D0B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7. (갑) 제7호증: 40-2017-0020197 의견제출통지서</w:t>
      </w:r>
    </w:p>
    <w:p w14:paraId="267867A7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8. (갑) 제8호증: 40-2017-0049149 의견제출통지서</w:t>
      </w:r>
    </w:p>
    <w:p w14:paraId="742D389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9. (갑) 제9호증: 40-2017-0157711 의견제출통지서</w:t>
      </w:r>
    </w:p>
    <w:p w14:paraId="05E22C7E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10. (갑) 제10호증: 40-2019-0027173 의견제출통지서</w:t>
      </w:r>
    </w:p>
    <w:p w14:paraId="50D193A5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11. (갑) 제11호증: 40-2019-0124538 의견제출통지서</w:t>
      </w:r>
    </w:p>
    <w:p w14:paraId="131A11C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lastRenderedPageBreak/>
        <w:t>12. (갑) 제12호증: 40-2020-0084493 의견제출통지서</w:t>
      </w:r>
    </w:p>
    <w:p w14:paraId="6A29149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13. (갑) 제13호증: 40-2020-0175722 의견제출통지서</w:t>
      </w:r>
    </w:p>
    <w:p w14:paraId="45091857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14. (갑) 제14호증: 40-2023-0020785 의견제출통지서</w:t>
      </w:r>
    </w:p>
    <w:p w14:paraId="08F78FC2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15. (갑) 제15호증: 40-2023-0020101 의견제출통지서</w:t>
      </w:r>
    </w:p>
    <w:p w14:paraId="1C52CA4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16. (갑) 제16호증: 40-2020-0187633 의견제출통지서</w:t>
      </w:r>
    </w:p>
    <w:p w14:paraId="2F263C71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17. (갑) 제17호증: 40-2021-0126794 의견제출통지서</w:t>
      </w:r>
    </w:p>
    <w:p w14:paraId="68E97531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18. (갑) 제18호증: 40-2021-0191391 의견제출통지서</w:t>
      </w:r>
    </w:p>
    <w:p w14:paraId="5F41D734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19. (갑) 제19호증: 40-2021-0246207 의견제출통지서</w:t>
      </w:r>
    </w:p>
    <w:p w14:paraId="7BE9D02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20. (갑) 제20호증: 40-2024-0073138 의견제출통지서</w:t>
      </w:r>
    </w:p>
    <w:p w14:paraId="53E2BE48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21. (갑) 제21호증: 40-2020-0006215 의견제출통지서</w:t>
      </w:r>
    </w:p>
    <w:p w14:paraId="3CAABBD4" w14:textId="77777777" w:rsidR="00000821" w:rsidRPr="00000821" w:rsidRDefault="00000821" w:rsidP="00000821">
      <w:pPr>
        <w:wordWrap/>
        <w:adjustRightInd w:val="0"/>
        <w:spacing w:after="0" w:line="672" w:lineRule="auto"/>
        <w:ind w:firstLine="800"/>
        <w:jc w:val="left"/>
        <w:rPr>
          <w:rFonts w:ascii="바탕체" w:eastAsia="바탕체"/>
          <w:kern w:val="0"/>
          <w:sz w:val="24"/>
          <w:szCs w:val="24"/>
        </w:rPr>
      </w:pPr>
    </w:p>
    <w:p w14:paraId="7CF48E87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  <w:u w:val="single"/>
        </w:rPr>
        <w:t>참고자료:</w:t>
      </w:r>
    </w:p>
    <w:p w14:paraId="4D0CBB11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1. 참고자료1: 특허법원 2022허3731 판결문</w:t>
      </w:r>
    </w:p>
    <w:p w14:paraId="7C7155E9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2. 참고자료2: 특허법원_2017허6453 판결문</w:t>
      </w:r>
    </w:p>
    <w:p w14:paraId="22F9CA93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3. 참고자료3: 특허법원_2018허7842 판결문</w:t>
      </w:r>
    </w:p>
    <w:p w14:paraId="63DD37DA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lastRenderedPageBreak/>
        <w:t>4. 참고자료4: 특허법원_2019허5881 판결문</w:t>
      </w:r>
    </w:p>
    <w:p w14:paraId="38B486D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5. 참고자료 5: 대법원 2017후981 판결문</w:t>
      </w:r>
    </w:p>
    <w:p w14:paraId="00A63F2D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6. 참고자료 6: 특허심판원 2020원198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04D25CFF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 xml:space="preserve">7. 참고자료 7: 특허심판원 2022원1244 </w:t>
      </w:r>
      <w:proofErr w:type="spellStart"/>
      <w:r w:rsidRPr="00000821">
        <w:rPr>
          <w:rFonts w:ascii="바탕체" w:eastAsia="바탕체"/>
          <w:kern w:val="0"/>
          <w:sz w:val="24"/>
          <w:szCs w:val="24"/>
        </w:rPr>
        <w:t>심결문</w:t>
      </w:r>
      <w:proofErr w:type="spellEnd"/>
    </w:p>
    <w:p w14:paraId="1546463B" w14:textId="77777777" w:rsidR="00000821" w:rsidRPr="00000821" w:rsidRDefault="00000821" w:rsidP="00000821">
      <w:pPr>
        <w:wordWrap/>
        <w:adjustRightInd w:val="0"/>
        <w:spacing w:after="0" w:line="672" w:lineRule="auto"/>
        <w:jc w:val="left"/>
        <w:rPr>
          <w:rFonts w:ascii="바탕체" w:eastAsia="바탕체"/>
          <w:kern w:val="0"/>
          <w:sz w:val="24"/>
          <w:szCs w:val="24"/>
        </w:rPr>
      </w:pPr>
      <w:r w:rsidRPr="00000821">
        <w:rPr>
          <w:rFonts w:ascii="바탕체" w:eastAsia="바탕체"/>
          <w:kern w:val="0"/>
          <w:sz w:val="24"/>
          <w:szCs w:val="24"/>
        </w:rPr>
        <w:t>8. 참고자료 8: 특허법원 2018허6528 판결문</w:t>
      </w:r>
    </w:p>
    <w:p w14:paraId="2E140504" w14:textId="44010F1F" w:rsidR="0080317B" w:rsidRDefault="00000821" w:rsidP="00000821">
      <w:r w:rsidRPr="00000821">
        <w:rPr>
          <w:rFonts w:ascii="바탕체" w:eastAsia="바탕체"/>
          <w:kern w:val="0"/>
          <w:sz w:val="24"/>
          <w:szCs w:val="24"/>
        </w:rPr>
        <w:t>9. 참고자료 9: 특허법원 2018허8302 판결문</w:t>
      </w:r>
    </w:p>
    <w:sectPr w:rsidR="0080317B">
      <w:footerReference w:type="default" r:id="rId8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94761" w14:textId="77777777" w:rsidR="00000821" w:rsidRDefault="00000821" w:rsidP="00000821">
      <w:pPr>
        <w:spacing w:after="0" w:line="240" w:lineRule="auto"/>
      </w:pPr>
      <w:r>
        <w:separator/>
      </w:r>
    </w:p>
  </w:endnote>
  <w:endnote w:type="continuationSeparator" w:id="0">
    <w:p w14:paraId="191F2814" w14:textId="77777777" w:rsidR="00000821" w:rsidRDefault="00000821" w:rsidP="00000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6160684"/>
      <w:docPartObj>
        <w:docPartGallery w:val="Page Numbers (Bottom of Page)"/>
        <w:docPartUnique/>
      </w:docPartObj>
    </w:sdtPr>
    <w:sdtContent>
      <w:p w14:paraId="2F77975D" w14:textId="26E8365C" w:rsidR="00000821" w:rsidRDefault="0000082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07EEBFC3" w14:textId="77777777" w:rsidR="00000821" w:rsidRDefault="0000082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E267C" w14:textId="77777777" w:rsidR="00000821" w:rsidRDefault="00000821" w:rsidP="00000821">
      <w:pPr>
        <w:spacing w:after="0" w:line="240" w:lineRule="auto"/>
      </w:pPr>
      <w:r>
        <w:separator/>
      </w:r>
    </w:p>
  </w:footnote>
  <w:footnote w:type="continuationSeparator" w:id="0">
    <w:p w14:paraId="0BF270FA" w14:textId="77777777" w:rsidR="00000821" w:rsidRDefault="00000821" w:rsidP="00000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821"/>
    <w:rsid w:val="00000821"/>
    <w:rsid w:val="0080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6042F"/>
  <w15:chartTrackingRefBased/>
  <w15:docId w15:val="{3770A9C9-AAB7-412C-A6B3-458D2A025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082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00821"/>
  </w:style>
  <w:style w:type="paragraph" w:styleId="a4">
    <w:name w:val="footer"/>
    <w:basedOn w:val="a"/>
    <w:link w:val="Char0"/>
    <w:uiPriority w:val="99"/>
    <w:unhideWhenUsed/>
    <w:rsid w:val="0000082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00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1830</Words>
  <Characters>10433</Characters>
  <Application>Microsoft Office Word</Application>
  <DocSecurity>0</DocSecurity>
  <Lines>86</Lines>
  <Paragraphs>24</Paragraphs>
  <ScaleCrop>false</ScaleCrop>
  <Company/>
  <LinksUpToDate>false</LinksUpToDate>
  <CharactersWithSpaces>12239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혁근 조</dc:creator>
  <cp:keywords/>
  <dc:description/>
  <cp:lastModifiedBy>혁근 조</cp:lastModifiedBy>
  <cp:revision>1</cp:revision>
  <dcterms:created xsi:type="dcterms:W3CDTF">2025-06-24T12:08:00Z</dcterms:created>
  <dcterms:modified xsi:type="dcterms:W3CDTF">2025-06-24T12:09:00Z</dcterms:modified>
</cp:coreProperties>
</file>