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651D" w14:textId="77777777" w:rsidR="00F9693B" w:rsidRPr="00F9693B" w:rsidRDefault="00F9693B" w:rsidP="00F9693B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【의견내용】</w:t>
      </w:r>
    </w:p>
    <w:p w14:paraId="2FABF0B6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1. 본건 상표등록출원 제40-2023-0163518호에 대한 의견제출통지서에 대하여 본 출원인은 아래와 같이 의견을 개진합니다.</w:t>
      </w:r>
    </w:p>
    <w:p w14:paraId="723E5486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C3D93C9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2. 본건 거절이유</w:t>
      </w:r>
    </w:p>
    <w:p w14:paraId="415B70A5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(1) 본건 거절이유는 본건 상표 "OUFF"가 인용상표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인용상표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1그룹의 "AUF", 인용상표 2그룹의 "WOOOF", 그리고 인용상표 3그룹의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"와 호칭이 유사하다는 것입니다.</w:t>
      </w:r>
    </w:p>
    <w:p w14:paraId="6BFD2F9F" w14:textId="5695F983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F27957A" wp14:editId="0DF6F808">
            <wp:extent cx="1323975" cy="1323975"/>
            <wp:effectExtent l="0" t="0" r="9525" b="9525"/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8E41D" w14:textId="7777777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/>
          <w:kern w:val="0"/>
          <w:sz w:val="24"/>
          <w:szCs w:val="24"/>
        </w:rPr>
        <w:t>&lt;본건 상표&gt;</w:t>
      </w:r>
    </w:p>
    <w:p w14:paraId="34F42865" w14:textId="7CC4D32B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C9E3E5E" wp14:editId="7A49D031">
            <wp:extent cx="1323975" cy="1323975"/>
            <wp:effectExtent l="0" t="0" r="9525" b="9525"/>
            <wp:docPr id="33" name="그림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93B">
        <w:rPr>
          <w:rFonts w:ascii="바탕체" w:eastAsia="바탕체" w:cs="바탕체"/>
          <w:kern w:val="0"/>
          <w:sz w:val="24"/>
          <w:szCs w:val="24"/>
        </w:rPr>
        <w:t xml:space="preserve">   </w:t>
      </w:r>
      <w:r w:rsidRPr="00F9693B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7DCB55D7" wp14:editId="3ABA25AE">
            <wp:extent cx="1323975" cy="1323975"/>
            <wp:effectExtent l="0" t="0" r="9525" b="9525"/>
            <wp:docPr id="32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67E9" w14:textId="7777777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/>
          <w:kern w:val="0"/>
          <w:sz w:val="24"/>
          <w:szCs w:val="24"/>
        </w:rPr>
        <w:t>&lt;인용상표 1그룹&gt;</w:t>
      </w:r>
    </w:p>
    <w:p w14:paraId="44A5187B" w14:textId="58362090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CA9140F" wp14:editId="0097BCE4">
            <wp:extent cx="1323975" cy="1323975"/>
            <wp:effectExtent l="0" t="0" r="9525" b="9525"/>
            <wp:docPr id="31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93B">
        <w:rPr>
          <w:rFonts w:ascii="바탕체" w:eastAsia="바탕체" w:cs="바탕체"/>
          <w:kern w:val="0"/>
          <w:sz w:val="24"/>
          <w:szCs w:val="24"/>
        </w:rPr>
        <w:t xml:space="preserve">    </w:t>
      </w:r>
      <w:r w:rsidRPr="00F9693B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7D73867F" wp14:editId="6E74ABD6">
            <wp:extent cx="1323975" cy="1323975"/>
            <wp:effectExtent l="0" t="0" r="9525" b="9525"/>
            <wp:docPr id="30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9016D" w14:textId="7777777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/>
          <w:kern w:val="0"/>
          <w:sz w:val="24"/>
          <w:szCs w:val="24"/>
        </w:rPr>
        <w:t>&lt;인용상표 2그룹&gt;</w:t>
      </w:r>
    </w:p>
    <w:p w14:paraId="4AA864CD" w14:textId="1C91A8F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3FBAA80" wp14:editId="716DCE56">
            <wp:extent cx="1323975" cy="1323975"/>
            <wp:effectExtent l="0" t="0" r="9525" b="9525"/>
            <wp:docPr id="29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FDAC6" w14:textId="7777777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/>
          <w:kern w:val="0"/>
          <w:sz w:val="24"/>
          <w:szCs w:val="24"/>
        </w:rPr>
        <w:t>&lt;인용상표 3그룹&gt;</w:t>
      </w:r>
    </w:p>
    <w:p w14:paraId="7BE8B0A6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28CDBE87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(2) 이러한 거절이유는 본건 상표 "OUFF"의 발음(호칭)을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",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"로 다양하게 상정하고, 이들 각각의 발음과 비슷한 발음으로 보이는 AUF, WOOF,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상표들을 찾아서 이들을 인용상표로 하여, 본건 상표가 이들 인용상표와 호칭이 유사하다고 주장하는 것이라 할 것입니다.</w:t>
      </w:r>
    </w:p>
    <w:p w14:paraId="7812FC02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B5AD70F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3. 외국어 상표의 호칭을 정하는 기준</w:t>
      </w:r>
    </w:p>
    <w:p w14:paraId="36F91784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D07FE38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lastRenderedPageBreak/>
        <w:t xml:space="preserve">(1) 판례에 따르면, 상표의 유사 판단에 있어서 외국어로 이루어진 상표의 호칭은 우리나라의 거래자나 수요자의 대부분이 그 외국어를 보고 특별한 어려움 없이 자연스럽게 하는 발음에 의하여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정하여짐이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원칙이고, 우리나라의 거래자나 수요자가 그 외국어 상표를 특정한 한국어로 표기하고 있는 등의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구체적인 사용실태가 인정되는 경우에는 그와 같은 구체적인 사용실태를 고려하여 외국어 상표의 호칭을 정하여야 한다</w:t>
      </w:r>
      <w:r w:rsidRPr="00F9693B">
        <w:rPr>
          <w:rFonts w:ascii="바탕체" w:eastAsia="바탕체"/>
          <w:kern w:val="0"/>
          <w:sz w:val="24"/>
          <w:szCs w:val="24"/>
        </w:rPr>
        <w:t>(대법원 2005. 11. 10. 선고 2004후2093 판결 참조)고 하고 있습니다.</w:t>
      </w:r>
    </w:p>
    <w:p w14:paraId="06B066F7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86AC32F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이러한 기준에 따라, 대법원은 ZEUS와 ZEISS의 유사여부가 문제가 되는 사건에서, 아래와 같이 설시하면서, 구체적인 사용실태를 고려할 때,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ZEISS는 "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제이스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"로 호칭될 수 없고, 따라서 ZEISS를 "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제이스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"로 호칭하여 ZEUS와 유사하다고 판단한 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원심결을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파기하였습니다.</w:t>
      </w:r>
      <w:r w:rsidRPr="00F9693B">
        <w:rPr>
          <w:rFonts w:ascii="바탕체" w:eastAsia="바탕체"/>
          <w:kern w:val="0"/>
          <w:sz w:val="24"/>
          <w:szCs w:val="24"/>
        </w:rPr>
        <w:t xml:space="preserve"> (첨부자료 1: 대법원 2004후2093 - ZEISS 판례 참조)</w:t>
      </w:r>
    </w:p>
    <w:p w14:paraId="72CEB76A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F5F5970" w14:textId="7777777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- 아래 -</w:t>
      </w:r>
    </w:p>
    <w:p w14:paraId="07F70850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2B06AAD3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독일의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광학기술자였던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Carl Zeiss(1816~1888)의 이름에서 유래하여 영한사전에도 등재된 단어로서, 영한사전의 발음기호에 따르면 '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차이스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' 내지 '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자이스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'로 발음이 되고, 그 단어의 뜻은 위 광학기술자, 그가 설립한 독일의 광학 정밀기기 제조회사 또는 그 상표라는 것이며, 'ZEISS'라는 상표가 부착된 광학 정밀기기제품을 국내에서 판매하는 회사의 이름은 '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칼자이스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주식회사'로서, 그 홈페이지 및 카탈로그에도 'ZEISS'의 호칭을 '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자이스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'로 표기하고 있고, 카메라 등의 광학기기를 사용하는 수요자나 거래자가 위 상표를 '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짜이스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' 또는 '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자이스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'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라고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부르고 있을 뿐 아니라, 선등록상표들과 이 사건 출원상표가 유사하다고 주장하면서 이의신청을 한 회사(선등록상표들의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상표권자이다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)도 자신의 한글명칭을 '칼-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짜이스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-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스티프퉁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트레이딩 에지 칼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짜이스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'로 표기하고 있는 사실이 인정되는데 비하여,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우리나라의 거래자나 수요자가 'ZEISS'를 '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제이스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'로 부르고 있다는 증거가 원심에 전혀 제출된 바 없음에도 불구하고</w:t>
      </w:r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, 원심이 위와 같은 사용실태를 고려하지 아니한 채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일부 영어 단어의 발음 사례만을 기초로 하여 'ZEISS'가 '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제이스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'로 호칭된다고 단정한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lastRenderedPageBreak/>
        <w:t>것은 상표의 유사 판단에 관한 법리를 오해하고 심리를 제대로 하지 아니함으로써 판결의 결과에 영향을 미친 위법</w:t>
      </w:r>
      <w:r w:rsidRPr="00F9693B">
        <w:rPr>
          <w:rFonts w:ascii="바탕체" w:eastAsia="바탕체"/>
          <w:kern w:val="0"/>
          <w:sz w:val="24"/>
          <w:szCs w:val="24"/>
        </w:rPr>
        <w:t>이 있고, 이를 지적하는 상고이유 제3점은 이유가 있다.</w:t>
      </w:r>
    </w:p>
    <w:p w14:paraId="39D41840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8B3208D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(2) 위 판례는 상표의 호칭을 정하는 기준판례로 자리매김을 하였으며, 예를 들어, 특허법원 2020허3720 거절결정(상) 사건은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아래 FOWI 상표의 호칭을 정함에 있어서 위 대법원 판례를 인용하면서, "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뽀위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", "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뽀이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", "포위" 또는 "포이" 등 다양한 발음이 가능하지만, 구체적인 사용실태를 고려할 때 "포이"로 호칭된다고 판단하였습니다. </w:t>
      </w:r>
      <w:r w:rsidRPr="00F9693B">
        <w:rPr>
          <w:rFonts w:ascii="바탕체" w:eastAsia="바탕체"/>
          <w:kern w:val="0"/>
          <w:sz w:val="24"/>
          <w:szCs w:val="24"/>
        </w:rPr>
        <w:t>(첨부자료 2: 2020허3720 거절결정(상) 사건 판결문 참조)</w:t>
      </w:r>
    </w:p>
    <w:p w14:paraId="2AF477C6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FA3A365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다음은 2020허3720 거절결정(상) 사건의 해당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설시부분입니다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.</w:t>
      </w:r>
    </w:p>
    <w:p w14:paraId="43C049EF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2E1338F" w14:textId="649E9856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8C8CDC8" wp14:editId="3C0D4861">
            <wp:extent cx="1933575" cy="1933575"/>
            <wp:effectExtent l="0" t="0" r="9525" b="9525"/>
            <wp:docPr id="28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3D7B4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이 사건 출원상표는 문자 부분과 도형 부분이 불가분적으로 결합되어 있다고 볼 수 없으므로 그 문자 부분에 의하여 호칭될 것인데,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일반적인 영문자 발음 방법에 따라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‘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뽀위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‘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,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’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뽀이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‘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,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‘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포위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’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또는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‘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포이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’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로 발음될 수 있다.</w:t>
      </w:r>
      <w:r w:rsidRPr="00F9693B">
        <w:rPr>
          <w:rFonts w:ascii="바탕체" w:eastAsia="바탕체"/>
          <w:kern w:val="0"/>
          <w:sz w:val="24"/>
          <w:szCs w:val="24"/>
        </w:rPr>
        <w:t xml:space="preserve"> </w:t>
      </w:r>
      <w:proofErr w:type="gramStart"/>
      <w:r w:rsidRPr="00F9693B">
        <w:rPr>
          <w:rFonts w:ascii="바탕체" w:eastAsia="바탕체"/>
          <w:kern w:val="0"/>
          <w:sz w:val="24"/>
          <w:szCs w:val="24"/>
        </w:rPr>
        <w:t>그런데 을</w:t>
      </w:r>
      <w:proofErr w:type="gramEnd"/>
      <w:r w:rsidRPr="00F9693B">
        <w:rPr>
          <w:rFonts w:ascii="바탕체" w:eastAsia="바탕체"/>
          <w:kern w:val="0"/>
          <w:sz w:val="24"/>
          <w:szCs w:val="24"/>
        </w:rPr>
        <w:t xml:space="preserve"> 제1호증의 기재 및 변론 전체의 취지에 의하여 알 수 있는 다음과 같은 사정 즉,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원고는 홈페이지 및 광고에서 이 사건 출원상표 중 문자 부분의 호칭을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‘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포이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’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로 표기하고 있는 점</w:t>
      </w:r>
      <w:r w:rsidRPr="00F9693B">
        <w:rPr>
          <w:rFonts w:ascii="바탕체" w:eastAsia="바탕체"/>
          <w:kern w:val="0"/>
          <w:sz w:val="24"/>
          <w:szCs w:val="24"/>
        </w:rPr>
        <w:t xml:space="preserve">,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영어를 모국어로 하지 않는 우리나라에서 일반 수요자나 거래자가 이 사건 출원상표의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‘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f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’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를 p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’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와 구분하여 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영어식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발음으로만 호칭한다고 단정하기는 어려운 점 등을 종합하여 보면</w:t>
      </w:r>
      <w:r w:rsidRPr="00F9693B">
        <w:rPr>
          <w:rFonts w:ascii="바탕체" w:eastAsia="바탕체"/>
          <w:kern w:val="0"/>
          <w:sz w:val="24"/>
          <w:szCs w:val="24"/>
        </w:rPr>
        <w:t xml:space="preserve">, </w:t>
      </w:r>
      <w:r w:rsidRPr="00F9693B">
        <w:rPr>
          <w:rFonts w:ascii="바탕체" w:eastAsia="바탕체"/>
          <w:b/>
          <w:bCs/>
          <w:i/>
          <w:iCs/>
          <w:kern w:val="0"/>
          <w:sz w:val="24"/>
          <w:szCs w:val="24"/>
        </w:rPr>
        <w:t>위와 같은</w:t>
      </w:r>
      <w:r w:rsidRPr="00F9693B">
        <w:rPr>
          <w:rFonts w:ascii="바탕체" w:eastAsia="바탕체"/>
          <w:b/>
          <w:bCs/>
          <w:i/>
          <w:iCs/>
          <w:kern w:val="0"/>
          <w:sz w:val="24"/>
          <w:szCs w:val="24"/>
          <w:u w:val="single"/>
        </w:rPr>
        <w:t xml:space="preserve"> 구체적인 사용실태에 따라 이 사건 출원상표는</w:t>
      </w:r>
      <w:r w:rsidRPr="00F9693B">
        <w:rPr>
          <w:rFonts w:ascii="바탕체" w:eastAsia="바탕체"/>
          <w:b/>
          <w:bCs/>
          <w:i/>
          <w:iCs/>
          <w:kern w:val="0"/>
          <w:sz w:val="24"/>
          <w:szCs w:val="24"/>
          <w:u w:val="single"/>
        </w:rPr>
        <w:t>‘</w:t>
      </w:r>
      <w:r w:rsidRPr="00F9693B">
        <w:rPr>
          <w:rFonts w:ascii="바탕체" w:eastAsia="바탕체"/>
          <w:b/>
          <w:bCs/>
          <w:i/>
          <w:iCs/>
          <w:kern w:val="0"/>
          <w:sz w:val="24"/>
          <w:szCs w:val="24"/>
          <w:u w:val="single"/>
        </w:rPr>
        <w:t>포이</w:t>
      </w:r>
      <w:r w:rsidRPr="00F9693B">
        <w:rPr>
          <w:rFonts w:ascii="바탕체" w:eastAsia="바탕체"/>
          <w:b/>
          <w:bCs/>
          <w:i/>
          <w:iCs/>
          <w:kern w:val="0"/>
          <w:sz w:val="24"/>
          <w:szCs w:val="24"/>
          <w:u w:val="single"/>
        </w:rPr>
        <w:t>’</w:t>
      </w:r>
      <w:r w:rsidRPr="00F9693B">
        <w:rPr>
          <w:rFonts w:ascii="바탕체" w:eastAsia="바탕체"/>
          <w:b/>
          <w:bCs/>
          <w:i/>
          <w:iCs/>
          <w:kern w:val="0"/>
          <w:sz w:val="24"/>
          <w:szCs w:val="24"/>
          <w:u w:val="single"/>
        </w:rPr>
        <w:t>로 호칭된다고 할 것이다.</w:t>
      </w:r>
    </w:p>
    <w:p w14:paraId="60F6FDAA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E6E4476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lastRenderedPageBreak/>
        <w:t xml:space="preserve">(3) 이러한 구체적인 사용실태에 따라 호칭을 결정한 사례들은 많은데, 그 중 </w:t>
      </w:r>
      <w:proofErr w:type="gramStart"/>
      <w:r w:rsidRPr="00F9693B">
        <w:rPr>
          <w:rFonts w:ascii="바탕체" w:eastAsia="바탕체"/>
          <w:kern w:val="0"/>
          <w:sz w:val="24"/>
          <w:szCs w:val="24"/>
        </w:rPr>
        <w:t>몇가지를</w:t>
      </w:r>
      <w:proofErr w:type="gramEnd"/>
      <w:r w:rsidRPr="00F9693B">
        <w:rPr>
          <w:rFonts w:ascii="바탕체" w:eastAsia="바탕체"/>
          <w:kern w:val="0"/>
          <w:sz w:val="24"/>
          <w:szCs w:val="24"/>
        </w:rPr>
        <w:t xml:space="preserve"> 보이고자 합니다.</w:t>
      </w:r>
    </w:p>
    <w:p w14:paraId="67455DAC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B278498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1) 특허심판원 2017원5939 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심결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: 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클래민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vs GLAMIN </w:t>
      </w:r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(첨부자료 3 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심결문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 참조)</w:t>
      </w:r>
    </w:p>
    <w:p w14:paraId="6616B7BF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①</w:t>
      </w:r>
      <w:r w:rsidRPr="00F9693B">
        <w:rPr>
          <w:rFonts w:ascii="바탕체" w:eastAsia="바탕체"/>
          <w:kern w:val="0"/>
          <w:sz w:val="24"/>
          <w:szCs w:val="24"/>
        </w:rPr>
        <w:t xml:space="preserve">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클래민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"과 "GLAMIN"의 유사여부에 대한 판단에 있어서, 특허심판원은 </w:t>
      </w:r>
      <w:r w:rsidRPr="00F9693B">
        <w:rPr>
          <w:rFonts w:ascii="바탕체" w:eastAsia="바탕체"/>
          <w:kern w:val="0"/>
          <w:sz w:val="24"/>
          <w:szCs w:val="24"/>
          <w:u w:val="single"/>
        </w:rPr>
        <w:t>"GLAMIN"</w:t>
      </w:r>
      <w:r w:rsidRPr="00F9693B">
        <w:rPr>
          <w:rFonts w:ascii="바탕체" w:eastAsia="바탕체"/>
          <w:kern w:val="0"/>
          <w:sz w:val="24"/>
          <w:szCs w:val="24"/>
        </w:rPr>
        <w:t xml:space="preserve">의 호칭을 구체적인 거래실정을 고려하여 </w:t>
      </w:r>
      <w:r w:rsidRPr="00F9693B">
        <w:rPr>
          <w:rFonts w:ascii="바탕체" w:eastAsia="바탕체"/>
          <w:kern w:val="0"/>
          <w:sz w:val="24"/>
          <w:szCs w:val="24"/>
          <w:u w:val="single"/>
        </w:rPr>
        <w:t>"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글라민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>"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으로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 판단</w:t>
      </w:r>
      <w:r w:rsidRPr="00F9693B">
        <w:rPr>
          <w:rFonts w:ascii="바탕체" w:eastAsia="바탕체"/>
          <w:kern w:val="0"/>
          <w:sz w:val="24"/>
          <w:szCs w:val="24"/>
        </w:rPr>
        <w:t>하였고, 이러한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글라민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"은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클래민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"과 유사하지 않다고 판단하여, 결국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클래민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vs GLAMIN은 유사하지 않다고 판단을 하였습니다.</w:t>
      </w:r>
    </w:p>
    <w:p w14:paraId="10941665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C2BEBC6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②</w:t>
      </w:r>
      <w:r w:rsidRPr="00F9693B">
        <w:rPr>
          <w:rFonts w:ascii="바탕체" w:eastAsia="바탕체"/>
          <w:kern w:val="0"/>
          <w:sz w:val="24"/>
          <w:szCs w:val="24"/>
        </w:rPr>
        <w:t xml:space="preserve"> 이러한 특허심판원의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심결문의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관련 설시부분을 보이면 아래와 같습니다.</w:t>
      </w:r>
    </w:p>
    <w:p w14:paraId="5C00BE8E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39B2D32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호칭면에서 대비하여 보면, 먼저 선등록상표 </w:t>
      </w:r>
      <w:r w:rsidRPr="00F9693B">
        <w:rPr>
          <w:rFonts w:ascii="바탕체" w:eastAsia="바탕체"/>
          <w:kern w:val="0"/>
          <w:sz w:val="24"/>
          <w:szCs w:val="24"/>
        </w:rPr>
        <w:t>“</w:t>
      </w:r>
      <w:r w:rsidRPr="00F9693B">
        <w:rPr>
          <w:rFonts w:ascii="바탕체" w:eastAsia="바탕체"/>
          <w:kern w:val="0"/>
          <w:sz w:val="24"/>
          <w:szCs w:val="24"/>
        </w:rPr>
        <w:t>GLAMIN</w:t>
      </w:r>
      <w:r w:rsidRPr="00F9693B">
        <w:rPr>
          <w:rFonts w:ascii="바탕체" w:eastAsia="바탕체"/>
          <w:kern w:val="0"/>
          <w:sz w:val="24"/>
          <w:szCs w:val="24"/>
        </w:rPr>
        <w:t>“</w:t>
      </w:r>
      <w:r w:rsidRPr="00F9693B">
        <w:rPr>
          <w:rFonts w:ascii="바탕체" w:eastAsia="바탕체"/>
          <w:kern w:val="0"/>
          <w:sz w:val="24"/>
          <w:szCs w:val="24"/>
        </w:rPr>
        <w:t xml:space="preserve">의 호칭에 대해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살펴보건대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, 선등록상표는 우리나라의 일반적인 영어발음 원칙에 따를 경우 </w:t>
      </w:r>
      <w:r w:rsidRPr="00F9693B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글래민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’</w:t>
      </w:r>
      <w:r w:rsidRPr="00F9693B">
        <w:rPr>
          <w:rFonts w:ascii="바탕체" w:eastAsia="바탕체"/>
          <w:kern w:val="0"/>
          <w:sz w:val="24"/>
          <w:szCs w:val="24"/>
        </w:rPr>
        <w:t xml:space="preserve"> 또는 </w:t>
      </w:r>
      <w:r w:rsidRPr="00F9693B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글라민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’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호칭될 수 있다. 그런데, 우리나라의 거래자나 </w:t>
      </w:r>
      <w:r w:rsidRPr="00F9693B">
        <w:rPr>
          <w:rFonts w:ascii="바탕체" w:eastAsia="바탕체"/>
          <w:kern w:val="0"/>
          <w:sz w:val="24"/>
          <w:szCs w:val="24"/>
        </w:rPr>
        <w:lastRenderedPageBreak/>
        <w:t xml:space="preserve">수요자가 그 외국어 상표를 특정한 한국어로 표기하고 있는 등의 구체적인 사용실태가 인정되는 경우에는 그와 같은 구체적인 사용실태를 고려하여 외국어 상표의 호칭을 정하여야 할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것인바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(대법원 2000.1. 21. 선고 99후2532 판결, 대법원 2005. 11. 10. 선고 2004후2093 판결 등 참조),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선등록상표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“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GLAMIN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“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은 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식약처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의약품정보(증거 제4호증), 약학정보원(증거 제5호증), NAVER 포털사이트(증거 제7호증) 등에 따르면, 일반수요자나 거래자는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‘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글라민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’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으로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호칭하고 있음이 확인된다 할 것이므로, 선등록상표는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‘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글라민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’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으로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호칭된다 하겠다.</w:t>
      </w:r>
    </w:p>
    <w:p w14:paraId="1321A851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그렇다면 이 사건 출원상표는 한글대로 </w:t>
      </w:r>
      <w:r w:rsidRPr="00F9693B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클래민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’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호칭되고, 선등록상표는 </w:t>
      </w:r>
      <w:r w:rsidRPr="00F9693B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글라민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’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호칭된다고 할 것이어서, 양 상표는 모두 짧은 3음절로 호칭되는데 그 중 2음절이 서로 상이하고, 그 첫 음절의 초성이 무성음 거센소리인 </w:t>
      </w:r>
      <w:r w:rsidRPr="00F9693B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ㅋ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’</w:t>
      </w:r>
      <w:r w:rsidRPr="00F9693B">
        <w:rPr>
          <w:rFonts w:ascii="바탕체" w:eastAsia="바탕체"/>
          <w:kern w:val="0"/>
          <w:sz w:val="24"/>
          <w:szCs w:val="24"/>
        </w:rPr>
        <w:t xml:space="preserve">과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유성음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예사소리 </w:t>
      </w:r>
      <w:r w:rsidRPr="00F9693B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ㄱ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’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으로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서로 다르며, 둘째 음절의 모음도 </w:t>
      </w:r>
      <w:r w:rsidRPr="00F9693B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ㅐ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’</w:t>
      </w:r>
      <w:r w:rsidRPr="00F9693B">
        <w:rPr>
          <w:rFonts w:ascii="바탕체" w:eastAsia="바탕체"/>
          <w:kern w:val="0"/>
          <w:sz w:val="24"/>
          <w:szCs w:val="24"/>
        </w:rPr>
        <w:t xml:space="preserve">와 </w:t>
      </w:r>
      <w:r w:rsidRPr="00F9693B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ㅏ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’</w:t>
      </w:r>
      <w:r w:rsidRPr="00F9693B">
        <w:rPr>
          <w:rFonts w:ascii="바탕체" w:eastAsia="바탕체"/>
          <w:kern w:val="0"/>
          <w:sz w:val="24"/>
          <w:szCs w:val="24"/>
        </w:rPr>
        <w:t xml:space="preserve">로 차이가 있어 전체적인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청감이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상이하다고 할 것이다.</w:t>
      </w:r>
    </w:p>
    <w:p w14:paraId="0D42D40A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lastRenderedPageBreak/>
        <w:t>따라서 이 사건 출원상표와 선등록상표는 그 외관, 관념 및 호칭이 모두 달라 서로 동일</w:t>
      </w:r>
      <w:r w:rsidRPr="00F9693B">
        <w:rPr>
          <w:rFonts w:ascii="바탕체" w:eastAsia="바탕체"/>
          <w:kern w:val="0"/>
          <w:sz w:val="24"/>
          <w:szCs w:val="24"/>
        </w:rPr>
        <w:t>·</w:t>
      </w:r>
      <w:r w:rsidRPr="00F9693B">
        <w:rPr>
          <w:rFonts w:ascii="바탕체" w:eastAsia="바탕체"/>
          <w:kern w:val="0"/>
          <w:sz w:val="24"/>
          <w:szCs w:val="24"/>
        </w:rPr>
        <w:t>유사한 상품에 사용하더라도 일반수요자나 거래자들로 하여금 그 상품의 출처에 관하여 오인</w:t>
      </w:r>
      <w:r w:rsidRPr="00F9693B">
        <w:rPr>
          <w:rFonts w:ascii="바탕체" w:eastAsia="바탕체"/>
          <w:kern w:val="0"/>
          <w:sz w:val="24"/>
          <w:szCs w:val="24"/>
        </w:rPr>
        <w:t>·</w:t>
      </w:r>
      <w:r w:rsidRPr="00F9693B">
        <w:rPr>
          <w:rFonts w:ascii="바탕체" w:eastAsia="바탕체"/>
          <w:kern w:val="0"/>
          <w:sz w:val="24"/>
          <w:szCs w:val="24"/>
        </w:rPr>
        <w:t xml:space="preserve">혼동을 일으킬 우려가 있다고 보기 어렵다 할 것이므로, 양 표장은 서로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비유사하다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.</w:t>
      </w:r>
    </w:p>
    <w:p w14:paraId="57CD4857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95D2118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2) 특허심판원 2021원2177: </w:t>
      </w:r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토스토스 vs TOUS 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TOUS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</w:t>
      </w:r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(첨부자료 4 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심결문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 참조)</w:t>
      </w:r>
    </w:p>
    <w:p w14:paraId="04CBA0B7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①</w:t>
      </w:r>
      <w:r w:rsidRPr="00F9693B">
        <w:rPr>
          <w:rFonts w:ascii="바탕체" w:eastAsia="바탕체"/>
          <w:kern w:val="0"/>
          <w:sz w:val="24"/>
          <w:szCs w:val="24"/>
        </w:rPr>
        <w:t xml:space="preserve"> 아래 2개의 상표의 유사여부에 대하여 </w:t>
      </w:r>
    </w:p>
    <w:p w14:paraId="12E13DDC" w14:textId="603B0FD3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A8B7754" wp14:editId="6BCADADC">
            <wp:extent cx="1285875" cy="1524000"/>
            <wp:effectExtent l="0" t="0" r="9525" b="0"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93B">
        <w:rPr>
          <w:rFonts w:ascii="바탕체" w:eastAsia="바탕체" w:cs="바탕체"/>
          <w:kern w:val="0"/>
          <w:sz w:val="24"/>
          <w:szCs w:val="24"/>
        </w:rPr>
        <w:t xml:space="preserve"> vs </w:t>
      </w:r>
      <w:r w:rsidRPr="00F9693B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636DAD27" wp14:editId="4313BC85">
            <wp:extent cx="1381125" cy="1419225"/>
            <wp:effectExtent l="0" t="0" r="9525" b="9525"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EEF4B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65FF104C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②</w:t>
      </w:r>
      <w:r w:rsidRPr="00F9693B">
        <w:rPr>
          <w:rFonts w:ascii="바탕체" w:eastAsia="바탕체"/>
          <w:kern w:val="0"/>
          <w:sz w:val="24"/>
          <w:szCs w:val="24"/>
        </w:rPr>
        <w:t xml:space="preserve"> 특허심판원은 </w:t>
      </w:r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"TOUS 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TOUS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>"의 호칭이 "토스토스", "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토우즈토우즈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>", "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투스투스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>", 또는 "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뚜스뚜스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>"로 다양할 수 있지만</w:t>
      </w:r>
      <w:r w:rsidRPr="00F9693B">
        <w:rPr>
          <w:rFonts w:ascii="바탕체" w:eastAsia="바탕체"/>
          <w:kern w:val="0"/>
          <w:sz w:val="24"/>
          <w:szCs w:val="24"/>
        </w:rPr>
        <w:t xml:space="preserve">, 아래와 같은 </w:t>
      </w:r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구체적인 </w:t>
      </w:r>
      <w:r w:rsidRPr="00F9693B">
        <w:rPr>
          <w:rFonts w:ascii="바탕체" w:eastAsia="바탕체"/>
          <w:kern w:val="0"/>
          <w:sz w:val="24"/>
          <w:szCs w:val="24"/>
          <w:u w:val="single"/>
        </w:rPr>
        <w:lastRenderedPageBreak/>
        <w:t xml:space="preserve">거래실정을 고려할 때 "TOUS 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TOUS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"의 호칭은 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뚜스뚜스로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 판단하는 것이 옳고</w:t>
      </w:r>
      <w:r w:rsidRPr="00F9693B">
        <w:rPr>
          <w:rFonts w:ascii="바탕체" w:eastAsia="바탕체"/>
          <w:kern w:val="0"/>
          <w:sz w:val="24"/>
          <w:szCs w:val="24"/>
        </w:rPr>
        <w:t>, 이렇게 보았을 때, 이 두개의 상표는 호칭상 유사하지 않다고 판단하였습니다.</w:t>
      </w:r>
    </w:p>
    <w:p w14:paraId="05211DB6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27D8A62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- 아래 -</w:t>
      </w:r>
    </w:p>
    <w:p w14:paraId="0532C572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7CD52DA" w14:textId="68F6D764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19890A1" wp14:editId="5CF2C831">
            <wp:extent cx="5731510" cy="2390140"/>
            <wp:effectExtent l="0" t="0" r="2540" b="0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01DA8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8AE932B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3) 특허심판원 2021원2787: 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huit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delynn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vs </w:t>
      </w:r>
      <w:proofErr w:type="spellStart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>huit</w:t>
      </w:r>
      <w:proofErr w:type="spellEnd"/>
      <w:r w:rsidRPr="00F9693B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</w:t>
      </w:r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(첨부자료 5 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심결문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 참조)</w:t>
      </w:r>
    </w:p>
    <w:p w14:paraId="7C50AA11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①</w:t>
      </w:r>
      <w:r w:rsidRPr="00F9693B">
        <w:rPr>
          <w:rFonts w:ascii="바탕체" w:eastAsia="바탕체"/>
          <w:kern w:val="0"/>
          <w:sz w:val="24"/>
          <w:szCs w:val="24"/>
        </w:rPr>
        <w:t xml:space="preserve"> 아래 2개의 상표의 유사여부에 대하여 </w:t>
      </w:r>
    </w:p>
    <w:p w14:paraId="3D993906" w14:textId="5B0EA032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4F133B3" wp14:editId="1DEE53B9">
            <wp:extent cx="4829175" cy="942975"/>
            <wp:effectExtent l="0" t="0" r="9525" b="9525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D75EB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D1190EF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lastRenderedPageBreak/>
        <w:t>②</w:t>
      </w:r>
      <w:r w:rsidRPr="00F9693B">
        <w:rPr>
          <w:rFonts w:ascii="바탕체" w:eastAsia="바탕체"/>
          <w:kern w:val="0"/>
          <w:sz w:val="24"/>
          <w:szCs w:val="24"/>
        </w:rPr>
        <w:t xml:space="preserve"> 특허심판원은 </w:t>
      </w:r>
      <w:r w:rsidRPr="00F9693B">
        <w:rPr>
          <w:rFonts w:ascii="바탕체" w:eastAsia="바탕체"/>
          <w:kern w:val="0"/>
          <w:sz w:val="24"/>
          <w:szCs w:val="24"/>
          <w:u w:val="single"/>
        </w:rPr>
        <w:t>출원인이 "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huit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 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delynn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>"의 상표의 호칭을 일관되게 "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위들린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>"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으로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 사용하였음을 이유로, "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huit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 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delynn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>"의 호칭을 "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위들린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>"</w:t>
      </w:r>
      <w:proofErr w:type="spellStart"/>
      <w:r w:rsidRPr="00F9693B">
        <w:rPr>
          <w:rFonts w:ascii="바탕체" w:eastAsia="바탕체"/>
          <w:kern w:val="0"/>
          <w:sz w:val="24"/>
          <w:szCs w:val="24"/>
          <w:u w:val="single"/>
        </w:rPr>
        <w:t>으로</w:t>
      </w:r>
      <w:proofErr w:type="spellEnd"/>
      <w:r w:rsidRPr="00F9693B">
        <w:rPr>
          <w:rFonts w:ascii="바탕체" w:eastAsia="바탕체"/>
          <w:kern w:val="0"/>
          <w:sz w:val="24"/>
          <w:szCs w:val="24"/>
          <w:u w:val="single"/>
        </w:rPr>
        <w:t xml:space="preserve"> 판단</w:t>
      </w:r>
      <w:r w:rsidRPr="00F9693B">
        <w:rPr>
          <w:rFonts w:ascii="바탕체" w:eastAsia="바탕체"/>
          <w:kern w:val="0"/>
          <w:sz w:val="24"/>
          <w:szCs w:val="24"/>
        </w:rPr>
        <w:t xml:space="preserve">하고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선등록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상표으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호칭을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위뜨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판단하여 이 두개의 상표가 유사하지 않다고 판단을 하였습니다.</w:t>
      </w:r>
    </w:p>
    <w:p w14:paraId="25F2157D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32F2F34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(4) 이와 같이 외국어 상표의 호칭은 상표의 스펠링으로부터 가능한 모든 발음을 그 상표의 호칭으로 삼아서는 아니되며, 구체적인 거래실정을 고려하여 상표의 호칭을 정하여야 할 것입니다.</w:t>
      </w:r>
    </w:p>
    <w:p w14:paraId="5432D314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CD88367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4. 본건 상표의 호칭에 대하여</w:t>
      </w:r>
    </w:p>
    <w:p w14:paraId="5935D7CA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1A44444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(1) 아래는 본건 상표의 구체적인 거래실정을 보입니다.</w:t>
      </w:r>
    </w:p>
    <w:p w14:paraId="15DB9D0D" w14:textId="0CE4B1E5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459313F" wp14:editId="149756AC">
            <wp:extent cx="5731510" cy="4577715"/>
            <wp:effectExtent l="0" t="0" r="2540" b="0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7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4C5FB" w14:textId="7777777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/>
          <w:kern w:val="0"/>
          <w:sz w:val="24"/>
          <w:szCs w:val="24"/>
        </w:rPr>
        <w:t>&lt;네이버 OUFF의 검색결과 1&gt;</w:t>
      </w:r>
    </w:p>
    <w:p w14:paraId="0ECBED64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405EBDD4" w14:textId="1C888A14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CC30D50" wp14:editId="6A9CCD9A">
            <wp:extent cx="5731510" cy="5995670"/>
            <wp:effectExtent l="0" t="0" r="2540" b="508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9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53B75" w14:textId="7777777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/>
          <w:kern w:val="0"/>
          <w:sz w:val="24"/>
          <w:szCs w:val="24"/>
        </w:rPr>
        <w:t>&lt;네이버 OUFF의 검색결과 2&gt;</w:t>
      </w:r>
    </w:p>
    <w:p w14:paraId="16E6B399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2B84C1FC" w14:textId="1508A13E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51E27E38" wp14:editId="5D475805">
            <wp:extent cx="5731510" cy="3110230"/>
            <wp:effectExtent l="0" t="0" r="2540" b="0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2AC60" w14:textId="0FB4C685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911011C" wp14:editId="0B6A7FC8">
            <wp:extent cx="5731510" cy="2879725"/>
            <wp:effectExtent l="0" t="0" r="2540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BB1D2" w14:textId="59380C0B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C64760D" wp14:editId="4972EE98">
            <wp:extent cx="4943475" cy="3343275"/>
            <wp:effectExtent l="0" t="0" r="9525" b="9525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1A20E" w14:textId="43EA6045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5119355" wp14:editId="023B9C5D">
            <wp:extent cx="5731510" cy="2464435"/>
            <wp:effectExtent l="0" t="0" r="254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A19D" w14:textId="7777777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/>
          <w:kern w:val="0"/>
          <w:sz w:val="24"/>
          <w:szCs w:val="24"/>
        </w:rPr>
        <w:t>&lt;본건 상표의 홈페이지 화면 자료들 - 갑 제1호증&gt;</w:t>
      </w:r>
    </w:p>
    <w:p w14:paraId="75FEFC85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22A62B1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(2) 본건 상표 "OUFF"는 실제 거래상에서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호칭되고 있는 것입니다.</w:t>
      </w:r>
    </w:p>
    <w:p w14:paraId="3F18FB30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C6946F1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(3) OU- 로 시작하는 상표들에 대하여 이 발음을 본건 상표의 경우와 같이 </w:t>
      </w:r>
      <w:r w:rsidRPr="00F9693B">
        <w:rPr>
          <w:rFonts w:ascii="바탕체" w:eastAsia="바탕체"/>
          <w:kern w:val="0"/>
          <w:sz w:val="24"/>
          <w:szCs w:val="24"/>
        </w:rPr>
        <w:lastRenderedPageBreak/>
        <w:t>"오유-"로 하는 경우는 적잖이 발견이 됩니다. 아래는 이들의 예시입니다.</w:t>
      </w:r>
    </w:p>
    <w:p w14:paraId="2DD3519C" w14:textId="1DA401AF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E4E1014" wp14:editId="690FC922">
            <wp:extent cx="3076575" cy="2295525"/>
            <wp:effectExtent l="0" t="0" r="9525" b="9525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EA125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43A8C941" w14:textId="034AF709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3CB8DD5" wp14:editId="6125D436">
            <wp:extent cx="3209925" cy="2428875"/>
            <wp:effectExtent l="0" t="0" r="9525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DA106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005737EE" w14:textId="164A56BE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30CF18F" wp14:editId="24C78BC9">
            <wp:extent cx="3238500" cy="2428875"/>
            <wp:effectExtent l="0" t="0" r="0" b="9525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94349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767063C" w14:textId="4421FB4C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29BB1DF" wp14:editId="19D2B978">
            <wp:extent cx="3343275" cy="2705100"/>
            <wp:effectExtent l="0" t="0" r="9525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7154C" w14:textId="60FA0D96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A039751" wp14:editId="7BCF764B">
            <wp:extent cx="5731510" cy="1402715"/>
            <wp:effectExtent l="0" t="0" r="2540" b="698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8D4DB" w14:textId="09E4FD4A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6D1006E" wp14:editId="48A5561A">
            <wp:extent cx="3648075" cy="2733675"/>
            <wp:effectExtent l="0" t="0" r="9525" b="952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AC400" w14:textId="40ECB48D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B0A350F" wp14:editId="27354033">
            <wp:extent cx="1857375" cy="2095500"/>
            <wp:effectExtent l="0" t="0" r="9525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E2A2A" w14:textId="3724F22E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1A243AA" wp14:editId="710A672C">
            <wp:extent cx="1933575" cy="2600325"/>
            <wp:effectExtent l="0" t="0" r="9525" b="9525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451F8" w14:textId="06F203B2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90A819D" wp14:editId="2E68D64D">
            <wp:extent cx="3114675" cy="2543175"/>
            <wp:effectExtent l="0" t="0" r="9525" b="952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96039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C5D4F56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(4) 이와 같이 "OU-"로 시작되는 상표들에 있어서 이 발음을 "오유-"로 하는 것은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드문일이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아닌 것이며, 본건 상표도 마찬가지로 "OU-"의 발음을 "오유"로 하여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사용되고 있는 것입니다. 따라서 본건 상표의 호칭은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"라 할 것이며, 이러한 판단은 판례와 합치된다고 할 것입니다. 즉 본건 상표를 접하는 수요자에게 "OUFF"는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표기되고 있으며, 이러한 발음은 "OUFF"의 스펠링으로부터 자연스러운 것으로서, 수요자들은 본건 상표의 호칭을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인식하게 될 것이라 할 것입니다.</w:t>
      </w:r>
    </w:p>
    <w:p w14:paraId="02B96DEA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EBA4B0E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5. 인용상표와의 유사여부</w:t>
      </w:r>
    </w:p>
    <w:p w14:paraId="6BDE0F88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lastRenderedPageBreak/>
        <w:t>이와 같이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호칭되는 본건 상표는 인용상표와 유사하지 않다고 할 것입니다.</w:t>
      </w:r>
    </w:p>
    <w:p w14:paraId="4106D522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E2B5597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(1) 우선, 인용상표 2그룹과 3그룹의 "WOOOF"와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"와 관련되어 이들의 호칭은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"가 될 것으로서 본건 상표의 호칭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"와 비교하였을 때 상호간에 유사하지 않다고 할 것입니다.</w:t>
      </w:r>
    </w:p>
    <w:p w14:paraId="1F7F4C56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1A047D8" w14:textId="5052391A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31B27FF" wp14:editId="35210F3C">
            <wp:extent cx="1323975" cy="1323975"/>
            <wp:effectExtent l="0" t="0" r="9525" b="952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93B">
        <w:rPr>
          <w:rFonts w:ascii="바탕체" w:eastAsia="바탕체" w:cs="바탕체"/>
          <w:kern w:val="0"/>
          <w:sz w:val="24"/>
          <w:szCs w:val="24"/>
        </w:rPr>
        <w:t xml:space="preserve">    </w:t>
      </w:r>
      <w:r w:rsidRPr="00F9693B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03DA31D0" wp14:editId="63E10234">
            <wp:extent cx="1323975" cy="1323975"/>
            <wp:effectExtent l="0" t="0" r="9525" b="952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12A0C" w14:textId="7777777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/>
          <w:kern w:val="0"/>
          <w:sz w:val="24"/>
          <w:szCs w:val="24"/>
        </w:rPr>
        <w:t>&lt;인용상표 2그룹&gt;</w:t>
      </w:r>
    </w:p>
    <w:p w14:paraId="3AE6DC83" w14:textId="30B0A6D9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4B5B9AC" wp14:editId="4F6D5708">
            <wp:extent cx="1323975" cy="132397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5260" w14:textId="7777777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/>
          <w:kern w:val="0"/>
          <w:sz w:val="24"/>
          <w:szCs w:val="24"/>
        </w:rPr>
        <w:t>&lt;인용상표 3그룹&gt;</w:t>
      </w:r>
    </w:p>
    <w:p w14:paraId="18B2FCFA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259FBCF7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lastRenderedPageBreak/>
        <w:t>(2) 다음 인용상표 1그룹의 AUF와 비교하였을 때, 아래와 같습니다.</w:t>
      </w:r>
    </w:p>
    <w:p w14:paraId="7C2127C5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EFF9AD1" w14:textId="30441C34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AA0F5C5" wp14:editId="78AA1713">
            <wp:extent cx="1323975" cy="1323975"/>
            <wp:effectExtent l="0" t="0" r="9525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93B">
        <w:rPr>
          <w:rFonts w:ascii="바탕체" w:eastAsia="바탕체" w:cs="바탕체"/>
          <w:kern w:val="0"/>
          <w:sz w:val="24"/>
          <w:szCs w:val="24"/>
        </w:rPr>
        <w:t xml:space="preserve">   </w:t>
      </w:r>
      <w:r w:rsidRPr="00F9693B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7C014AD3" wp14:editId="224CE9C7">
            <wp:extent cx="1323975" cy="132397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30D48" w14:textId="77777777" w:rsidR="00F9693B" w:rsidRPr="00F9693B" w:rsidRDefault="00F9693B" w:rsidP="00F9693B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/>
          <w:kern w:val="0"/>
          <w:sz w:val="24"/>
          <w:szCs w:val="24"/>
        </w:rPr>
        <w:t>&lt;인용상표 1그룹&gt;</w:t>
      </w:r>
    </w:p>
    <w:p w14:paraId="77815653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37D99FD2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1) 우선 AUF는 독일어로 위로, 위에 라는 의미로서 그 발음은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"입니다.</w:t>
      </w:r>
    </w:p>
    <w:p w14:paraId="32D503E5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1034268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2) 실제 거래실정에서도 역시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발음이 되고 있습니다.</w:t>
      </w:r>
    </w:p>
    <w:p w14:paraId="65175DEE" w14:textId="3FCE9CDD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8A06CB3" wp14:editId="1491FE1F">
            <wp:extent cx="5731510" cy="1501140"/>
            <wp:effectExtent l="0" t="0" r="2540" b="381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5E9C" w14:textId="0DE177DB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D76E62C" wp14:editId="45BD653C">
            <wp:extent cx="5334000" cy="216217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956C5" w14:textId="5544E538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9693B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568E2F9" wp14:editId="6EE15348">
            <wp:extent cx="5731510" cy="2205990"/>
            <wp:effectExtent l="0" t="0" r="254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2A414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54D44F1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즉 네이버, 구글 등의 검색에서 "AUF"는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표기되어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호칭이 되고 있음을 알 수 있습니다.</w:t>
      </w:r>
    </w:p>
    <w:p w14:paraId="305ABBCD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3E370D4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3) 따라서 인용상표 "AUF"의 호칭은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"라 할 것입니다. 그러면, 본건 상표의 호칭은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"로서 본건 상표는 인용상표와 유사하지 않다고 할 것입니다.</w:t>
      </w:r>
    </w:p>
    <w:p w14:paraId="676C482F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01A24BE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(3) 본건 상표의 거절이유는 아마도 본건 상표 "OUFF"의 발음을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또는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정도로 상정한 것이 아닌가 하며, 이에 따라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발음되는 AUF,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발음되는 "WOOOF" 또는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를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인용상표로 하여 호칭상 유사하다는 거절이유를 통지한 것으로 생각됩니다. </w:t>
      </w:r>
    </w:p>
    <w:p w14:paraId="4600558E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5DEFBD6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1) 그러나 "OUFF"는 우선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발음하는 것은 자연스럽지 않습니다. "OU-"가 "아우-"로 발음이 되는 경우는 많은 경우 OUT, SHOUT, HOUSE 등과 같이 t, d, s와 같은 자음과 결합되는 경우이고, 일반적으로 "아우-"의 발음은 AUDI 등과 같이 "AU-"인 경우가 많습니다. 따라서 "OUFF"를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발음을 상정하는 것은 자연스럽지 않다고 할 것입니다. (AUFF 같은 경우가 아우프로 발음되는 경우라 할 것입니다.)</w:t>
      </w:r>
    </w:p>
    <w:p w14:paraId="266FECA7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ED68714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2) 또한 "OUFF"를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"로 발음하는 것도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자엽스럽지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않은데, 왜냐하면 "우-"의 발음은 통상 U-, OO-, 또는 WOO-와 같은 경우에 일어나는 것이기 때문입니다. </w:t>
      </w:r>
      <w:r w:rsidRPr="00F9693B">
        <w:rPr>
          <w:rFonts w:ascii="바탕체" w:eastAsia="바탕체"/>
          <w:kern w:val="0"/>
          <w:sz w:val="24"/>
          <w:szCs w:val="24"/>
        </w:rPr>
        <w:lastRenderedPageBreak/>
        <w:t>만일 굳이 발음한다면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어프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 정도로 발음이 될 것으로서 이것은 인용상표의 호칭인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 또는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"와 유사하지 않습니다.</w:t>
      </w:r>
    </w:p>
    <w:p w14:paraId="7708DDE2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A351C37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(4) 본 사건과 관련되어 판례의 법리에 따라 살펴보면 전술한 바와 같이, 구체적인 거래실정에서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사용되고 있고, 또한, OU를 오유로 발음하는 것은 자연스럽게 받아들여질 수 있는 것으로서, 본건 상표의 호칭은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"로 판단하는 것이 옳다고 할 것입니다. </w:t>
      </w:r>
    </w:p>
    <w:p w14:paraId="52884039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014A72B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(5) 기실 "OUFF"는 발음을 어떻게 할지가 애매한 면이 있는 것이 사실인데,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상표출원인이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이를 자연스럽게 받아들일 수 있는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사용함에 따라 수요자들은 본건 상표의 호칭을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오유프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"로서 받아들이게 될 것이고, 이 호칭으로 스펠링 OUFF와 함께 출처를 인식하게 될 것입니다. 이와 같은 상황에서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아우프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호칭되는 "AUF", 그리고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>"로 호칭되는 "WOOOF" 또는 "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우프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"와 본건 상표가 출처의 혼동을 일으킬 정도로 유사하다고 말할 수는 없다고 할 것입니다. 즉 본건 상표는 인용상표들과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할 것입니다.</w:t>
      </w:r>
    </w:p>
    <w:p w14:paraId="435DFC01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79994F9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6. 결론</w:t>
      </w:r>
    </w:p>
    <w:p w14:paraId="29F4C96F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이와 같이 본건 상표는 인용상표와 유사하지 않다고 할 것입니다.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2EE06AE9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2724056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  <w:u w:val="single"/>
        </w:rPr>
        <w:t>증거자료:</w:t>
      </w:r>
    </w:p>
    <w:p w14:paraId="241B1F53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1. (갑) 제1호증: 본건 홈페이지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캡처자료</w:t>
      </w:r>
      <w:proofErr w:type="spellEnd"/>
      <w:r w:rsidRPr="00F9693B">
        <w:rPr>
          <w:rFonts w:ascii="바탕체" w:eastAsia="바탕체"/>
          <w:kern w:val="0"/>
          <w:sz w:val="24"/>
          <w:szCs w:val="24"/>
        </w:rPr>
        <w:t xml:space="preserve"> (www.ouff.co.kr)</w:t>
      </w:r>
    </w:p>
    <w:p w14:paraId="3F8D8533" w14:textId="77777777" w:rsidR="00F9693B" w:rsidRPr="00F9693B" w:rsidRDefault="00F9693B" w:rsidP="00F9693B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33BCB65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  <w:u w:val="single"/>
        </w:rPr>
        <w:t>첨부자료:</w:t>
      </w:r>
    </w:p>
    <w:p w14:paraId="17F6C1AD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1. 첨부자료 1: 대법원 2004후2093 사건 판결문</w:t>
      </w:r>
    </w:p>
    <w:p w14:paraId="7070D779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>2. 첨부자료 2: 특허법원 2020허3720 사건 판결문</w:t>
      </w:r>
    </w:p>
    <w:p w14:paraId="34071DB1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3. 첨부자료 3: 특허심판원 2017원5939 사건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심결문</w:t>
      </w:r>
      <w:proofErr w:type="spellEnd"/>
    </w:p>
    <w:p w14:paraId="100AD5F6" w14:textId="77777777" w:rsidR="00F9693B" w:rsidRPr="00F9693B" w:rsidRDefault="00F9693B" w:rsidP="00F9693B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9693B">
        <w:rPr>
          <w:rFonts w:ascii="바탕체" w:eastAsia="바탕체"/>
          <w:kern w:val="0"/>
          <w:sz w:val="24"/>
          <w:szCs w:val="24"/>
        </w:rPr>
        <w:t xml:space="preserve">4. 첨부자료 4: 특허심판원 2021원2177 사건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심결문</w:t>
      </w:r>
      <w:proofErr w:type="spellEnd"/>
    </w:p>
    <w:p w14:paraId="652F0D56" w14:textId="0ABEFCDC" w:rsidR="00AD462C" w:rsidRPr="00F9693B" w:rsidRDefault="00F9693B" w:rsidP="00F9693B">
      <w:r w:rsidRPr="00F9693B">
        <w:rPr>
          <w:rFonts w:ascii="바탕체" w:eastAsia="바탕체"/>
          <w:kern w:val="0"/>
          <w:sz w:val="24"/>
          <w:szCs w:val="24"/>
        </w:rPr>
        <w:t xml:space="preserve">5. 첨부자료 5: 특허심판원 2021원2787 사건 </w:t>
      </w:r>
      <w:proofErr w:type="spellStart"/>
      <w:r w:rsidRPr="00F9693B">
        <w:rPr>
          <w:rFonts w:ascii="바탕체" w:eastAsia="바탕체"/>
          <w:kern w:val="0"/>
          <w:sz w:val="24"/>
          <w:szCs w:val="24"/>
        </w:rPr>
        <w:t>심결문</w:t>
      </w:r>
      <w:proofErr w:type="spellEnd"/>
    </w:p>
    <w:sectPr w:rsidR="00AD462C" w:rsidRPr="00F9693B">
      <w:footerReference w:type="default" r:id="rId4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FACD" w14:textId="77777777" w:rsidR="00F9693B" w:rsidRDefault="00F9693B" w:rsidP="00F9693B">
      <w:pPr>
        <w:spacing w:after="0" w:line="240" w:lineRule="auto"/>
      </w:pPr>
      <w:r>
        <w:separator/>
      </w:r>
    </w:p>
  </w:endnote>
  <w:endnote w:type="continuationSeparator" w:id="0">
    <w:p w14:paraId="5AE35CCF" w14:textId="77777777" w:rsidR="00F9693B" w:rsidRDefault="00F9693B" w:rsidP="00F9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776533"/>
      <w:docPartObj>
        <w:docPartGallery w:val="Page Numbers (Bottom of Page)"/>
        <w:docPartUnique/>
      </w:docPartObj>
    </w:sdtPr>
    <w:sdtContent>
      <w:p w14:paraId="2BA83F2F" w14:textId="604EF6AD" w:rsidR="00F9693B" w:rsidRDefault="00F969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5DB21EEE" w14:textId="77777777" w:rsidR="00F9693B" w:rsidRDefault="00F969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5481" w14:textId="77777777" w:rsidR="00F9693B" w:rsidRDefault="00F9693B" w:rsidP="00F9693B">
      <w:pPr>
        <w:spacing w:after="0" w:line="240" w:lineRule="auto"/>
      </w:pPr>
      <w:r>
        <w:separator/>
      </w:r>
    </w:p>
  </w:footnote>
  <w:footnote w:type="continuationSeparator" w:id="0">
    <w:p w14:paraId="1B582BD9" w14:textId="77777777" w:rsidR="00F9693B" w:rsidRDefault="00F9693B" w:rsidP="00F96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3B"/>
    <w:rsid w:val="00AD462C"/>
    <w:rsid w:val="00F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9402"/>
  <w15:chartTrackingRefBased/>
  <w15:docId w15:val="{885F3BB7-40BC-4754-B838-CD74A29D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9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9693B"/>
  </w:style>
  <w:style w:type="paragraph" w:styleId="a4">
    <w:name w:val="footer"/>
    <w:basedOn w:val="a"/>
    <w:link w:val="Char0"/>
    <w:uiPriority w:val="99"/>
    <w:unhideWhenUsed/>
    <w:rsid w:val="00F969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9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2025-06-24T11:38:00Z</dcterms:created>
  <dcterms:modified xsi:type="dcterms:W3CDTF">2025-06-24T11:38:00Z</dcterms:modified>
</cp:coreProperties>
</file>