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74FC4" w14:textId="77777777" w:rsidR="00255FC2" w:rsidRPr="00255FC2" w:rsidRDefault="00255FC2" w:rsidP="00255FC2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【의견내용】</w:t>
      </w:r>
    </w:p>
    <w:p w14:paraId="150C0080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1. 본건 상표등록출원 제40-2023-0170248호의 상표출원에 대한 의견제출통지서에 대하여 본 출원인은 아래와 같이 의견을 개진합니다.</w:t>
      </w:r>
    </w:p>
    <w:p w14:paraId="087BF05E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5C0ECAA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2. 본건 거절이유는 아래의 본건 상표가 인용상표와 호칭상 유사하다는 것입니다. 아마도 거절이유는 본건 상표의 호칭을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스펙클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" 정도로 보고, 인용상표는 한글이 병기된 그대로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스피클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"로 읽어, 양자가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스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-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ㅍ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-클"의 구조를 가져 호칭상 유사하다고 주장하는 것으로 사료됩니다.</w:t>
      </w:r>
    </w:p>
    <w:p w14:paraId="2543F72C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B6E1C6A" w14:textId="1262D11C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A292CC5" wp14:editId="328AD038">
            <wp:extent cx="1590675" cy="1590675"/>
            <wp:effectExtent l="0" t="0" r="9525" b="9525"/>
            <wp:docPr id="25" name="그림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4E8A6" w14:textId="77777777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/>
          <w:kern w:val="0"/>
          <w:sz w:val="24"/>
          <w:szCs w:val="24"/>
        </w:rPr>
        <w:t>&lt;본건상표&gt;</w:t>
      </w:r>
    </w:p>
    <w:p w14:paraId="109DEF7D" w14:textId="06B5172C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8A746CD" wp14:editId="76F7423D">
            <wp:extent cx="981075" cy="981075"/>
            <wp:effectExtent l="0" t="0" r="9525" b="9525"/>
            <wp:docPr id="24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95751" w14:textId="77777777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/>
          <w:kern w:val="0"/>
          <w:sz w:val="24"/>
          <w:szCs w:val="24"/>
        </w:rPr>
        <w:lastRenderedPageBreak/>
        <w:t>&lt;인용상표&gt;</w:t>
      </w:r>
    </w:p>
    <w:p w14:paraId="19978E27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66352BD5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3. 본건 상표와 인용상표의 유사여부</w:t>
      </w:r>
    </w:p>
    <w:p w14:paraId="20DF7707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7E6098E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 xml:space="preserve">(1) 우선 외관상 본건 상표와 인용상표는 전혀 다르며 외관상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출처혼동의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염려는 없다고 할 것이어서, 두 상표는 외관상 유사하지 않다고 할 것입니다.</w:t>
      </w:r>
    </w:p>
    <w:p w14:paraId="0F096767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6D09396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(2) 관념의 측면에서 본건 상표는 작은 반점이라는 의미를 가지는데, 인용상표는 아무런 의미도 없는 것으로서 양자는 역시 유사하지 않다고 할 것입니다.</w:t>
      </w:r>
    </w:p>
    <w:p w14:paraId="3ABAD209" w14:textId="10BF2B24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453FA06" wp14:editId="3EF9D077">
            <wp:extent cx="3419475" cy="2124075"/>
            <wp:effectExtent l="0" t="0" r="9525" b="9525"/>
            <wp:docPr id="23" name="그림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FC2">
        <w:rPr>
          <w:rFonts w:ascii="바탕체" w:eastAsia="바탕체" w:cs="바탕체"/>
          <w:kern w:val="0"/>
          <w:sz w:val="24"/>
          <w:szCs w:val="24"/>
        </w:rPr>
        <w:t xml:space="preserve"> </w:t>
      </w:r>
    </w:p>
    <w:p w14:paraId="2C187684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(3) 다만 호칭의 면에서 거절이유가 나왔는데, 이것은 본건 상표의 발음은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스펙클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"로 인용상표는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스피클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"로 호칭하여, 양자가 모두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스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-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ㅍ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-클"의 구조를 </w:t>
      </w:r>
      <w:r w:rsidRPr="00255FC2">
        <w:rPr>
          <w:rFonts w:ascii="바탕체" w:eastAsia="바탕체"/>
          <w:kern w:val="0"/>
          <w:sz w:val="24"/>
          <w:szCs w:val="24"/>
        </w:rPr>
        <w:lastRenderedPageBreak/>
        <w:t>가져 이러한 측면에서 양 상표는 호칭상 유사하다고 거절이유가 나온 것으로 생각됩니다. (전술한 바와 같습니다.)</w:t>
      </w:r>
    </w:p>
    <w:p w14:paraId="4187783A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51C0D7C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 xml:space="preserve">(4) 그러나 상표의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유사란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두개의 상표가 비슷하다는 것이 아니라, 출처의 혼동이라는 관점에서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파악되어여야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하는 것으로서, 이러한 관점에서 과연 두개의 상표가 호칭상 출처의 혼동을 일으킬 정도로 유사한지를 판단하여야 할 것입니다. 이러한 관점에서 두개의 상표를 판단해 보도록 하겠습니다.</w:t>
      </w:r>
    </w:p>
    <w:p w14:paraId="203DFB4E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4DEAE17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1) 두개의 상표를 호칭의 측면에서 비교하면,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스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-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ㅍ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-클"의 구조는 공통되지만, 중간의 음이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펙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"과 "피"로서 양자는 확연히 다릅니다.</w:t>
      </w:r>
    </w:p>
    <w:p w14:paraId="6DC95828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047F263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2) 즉 본건 상표 Speckle은 "-e-"가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ㅔ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"의 모음으로서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연달은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"-ck-"로 인하여 "-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페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+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ㄱ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"의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펙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" 이라는 터져 나오는 파열음이 나게 됩니다.</w:t>
      </w:r>
    </w:p>
    <w:p w14:paraId="432AA38B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5D0F4B2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3) 이에 반하여 인용상표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스피클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SPICL"은 단순히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i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"의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ㅣ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"의 모음만을 가질 </w:t>
      </w:r>
      <w:r w:rsidRPr="00255FC2">
        <w:rPr>
          <w:rFonts w:ascii="바탕체" w:eastAsia="바탕체"/>
          <w:kern w:val="0"/>
          <w:sz w:val="24"/>
          <w:szCs w:val="24"/>
        </w:rPr>
        <w:lastRenderedPageBreak/>
        <w:t>뿐으로서 발음이 새는(입김이 빠져나가는) "피"의 발음이 나게 됩니다. (마찰음)</w:t>
      </w:r>
    </w:p>
    <w:p w14:paraId="4C482B67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7B5E6FD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4) 즉 본건 상표는 중간의 모음이 -e-이고 뒤에 -ck가 연속되어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펙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"이라는 파열음이 만들어지는데, 인용상표는 중간의 모음이 -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i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-이고 그 뒤에 말음인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클이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연결되는 것으로서 중간음은 "피"로서 발음이 새는 느낌의 것입니다.</w:t>
      </w:r>
    </w:p>
    <w:p w14:paraId="686B1FD8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0B19A8D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5) 따라서 본건 상표의 호칭은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스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"에 이어서 위 아래를 크게 벌리며 터지듯이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펙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"하고 이후 "클"의 발음을 하게 됨에 반하여, 인용상표는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스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"에 이어서 입김이 새는 듯이 "피"하고 이후 "클"의 발음을 하게 되는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것으서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양자는 발음의 방식이 다르고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청감도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다른 것입니다.</w:t>
      </w:r>
    </w:p>
    <w:p w14:paraId="68830171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4DB2D63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6) 이를 정리하면 아래와 같으며, 이와 같이, 양 상표는 중간 음절의 모음과 자음의 조합, 발음 방식과, 그리고 청각적 인상이 상이하여 일반 수요자에게 출처의 혼동을 야기할 가능성은 극히 낮다고 할 것입니다.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0"/>
        <w:gridCol w:w="2965"/>
        <w:gridCol w:w="2764"/>
        <w:gridCol w:w="1349"/>
      </w:tblGrid>
      <w:tr w:rsidR="00255FC2" w:rsidRPr="00255FC2" w14:paraId="38FB9BBA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E091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FDF5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 w:val="24"/>
                <w:szCs w:val="24"/>
              </w:rPr>
            </w:pPr>
            <w:r w:rsidRPr="00255FC2">
              <w:rPr>
                <w:rFonts w:ascii="바탕체" w:eastAsia="바탕체"/>
                <w:kern w:val="0"/>
                <w:szCs w:val="20"/>
              </w:rPr>
              <w:t>모음과 자음의 조합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6D54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 w:val="24"/>
                <w:szCs w:val="24"/>
              </w:rPr>
            </w:pPr>
            <w:r w:rsidRPr="00255FC2">
              <w:rPr>
                <w:rFonts w:ascii="바탕체" w:eastAsia="바탕체"/>
                <w:kern w:val="0"/>
                <w:szCs w:val="20"/>
              </w:rPr>
              <w:t>발음의 방식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1ABC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 w:val="24"/>
                <w:szCs w:val="24"/>
              </w:rPr>
            </w:pPr>
            <w:r w:rsidRPr="00255FC2">
              <w:rPr>
                <w:rFonts w:ascii="바탕체" w:eastAsia="바탕체"/>
                <w:kern w:val="0"/>
                <w:szCs w:val="20"/>
              </w:rPr>
              <w:t>청각적 인상</w:t>
            </w:r>
          </w:p>
        </w:tc>
      </w:tr>
      <w:tr w:rsidR="00255FC2" w:rsidRPr="00255FC2" w14:paraId="6D363256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0AF5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Cs w:val="20"/>
              </w:rPr>
            </w:pPr>
          </w:p>
          <w:p w14:paraId="28BB316C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 w:val="24"/>
                <w:szCs w:val="24"/>
              </w:rPr>
            </w:pPr>
            <w:r w:rsidRPr="00255FC2">
              <w:rPr>
                <w:rFonts w:ascii="바탕체" w:eastAsia="바탕체"/>
                <w:kern w:val="0"/>
                <w:szCs w:val="20"/>
              </w:rPr>
              <w:lastRenderedPageBreak/>
              <w:t>본건 상표 Speckle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BC99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Cs w:val="20"/>
              </w:rPr>
            </w:pPr>
          </w:p>
          <w:p w14:paraId="7D47148B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Cs w:val="20"/>
              </w:rPr>
            </w:pPr>
            <w:r w:rsidRPr="00255FC2">
              <w:rPr>
                <w:rFonts w:ascii="바탕체" w:eastAsia="바탕체"/>
                <w:kern w:val="0"/>
                <w:szCs w:val="20"/>
              </w:rPr>
              <w:lastRenderedPageBreak/>
              <w:t xml:space="preserve">e의 </w:t>
            </w:r>
            <w:proofErr w:type="spellStart"/>
            <w:r w:rsidRPr="00255FC2">
              <w:rPr>
                <w:rFonts w:ascii="바탕체" w:eastAsia="바탕체"/>
                <w:kern w:val="0"/>
                <w:szCs w:val="20"/>
              </w:rPr>
              <w:t>모음뒤에</w:t>
            </w:r>
            <w:proofErr w:type="spellEnd"/>
            <w:r w:rsidRPr="00255FC2">
              <w:rPr>
                <w:rFonts w:ascii="바탕체" w:eastAsia="바탕체"/>
                <w:kern w:val="0"/>
                <w:szCs w:val="20"/>
              </w:rPr>
              <w:t xml:space="preserve"> ck 자음결합.</w:t>
            </w:r>
          </w:p>
          <w:p w14:paraId="2AEC05F8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BD1B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Cs w:val="20"/>
              </w:rPr>
            </w:pPr>
          </w:p>
          <w:p w14:paraId="133C8FA0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Cs w:val="20"/>
              </w:rPr>
            </w:pPr>
            <w:r w:rsidRPr="00255FC2">
              <w:rPr>
                <w:rFonts w:ascii="바탕체" w:eastAsia="바탕체"/>
                <w:kern w:val="0"/>
                <w:szCs w:val="20"/>
              </w:rPr>
              <w:lastRenderedPageBreak/>
              <w:t>크게 입을 벌려 파열</w:t>
            </w:r>
          </w:p>
          <w:p w14:paraId="155EA64C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Cs w:val="20"/>
              </w:rPr>
            </w:pPr>
            <w:r w:rsidRPr="00255FC2">
              <w:rPr>
                <w:rFonts w:ascii="바탕체" w:eastAsia="바탕체"/>
                <w:kern w:val="0"/>
                <w:szCs w:val="20"/>
              </w:rPr>
              <w:t>"</w:t>
            </w:r>
            <w:proofErr w:type="spellStart"/>
            <w:r w:rsidRPr="00255FC2">
              <w:rPr>
                <w:rFonts w:ascii="바탕체" w:eastAsia="바탕체"/>
                <w:kern w:val="0"/>
                <w:szCs w:val="20"/>
              </w:rPr>
              <w:t>펙</w:t>
            </w:r>
            <w:proofErr w:type="spellEnd"/>
            <w:r w:rsidRPr="00255FC2">
              <w:rPr>
                <w:rFonts w:ascii="바탕체" w:eastAsia="바탕체"/>
                <w:kern w:val="0"/>
                <w:szCs w:val="20"/>
              </w:rPr>
              <w:t>"의 발음</w:t>
            </w:r>
          </w:p>
          <w:p w14:paraId="6B1E7BC9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77B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Cs w:val="20"/>
              </w:rPr>
            </w:pPr>
          </w:p>
          <w:p w14:paraId="40147E18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 w:val="24"/>
                <w:szCs w:val="24"/>
              </w:rPr>
            </w:pPr>
            <w:r w:rsidRPr="00255FC2">
              <w:rPr>
                <w:rFonts w:ascii="바탕체" w:eastAsia="바탕체"/>
                <w:kern w:val="0"/>
                <w:szCs w:val="20"/>
              </w:rPr>
              <w:lastRenderedPageBreak/>
              <w:t>터짐.</w:t>
            </w:r>
          </w:p>
        </w:tc>
      </w:tr>
      <w:tr w:rsidR="00255FC2" w:rsidRPr="00255FC2" w14:paraId="502F44C7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025B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Cs w:val="20"/>
              </w:rPr>
            </w:pPr>
          </w:p>
          <w:p w14:paraId="5A05334D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 w:val="24"/>
                <w:szCs w:val="24"/>
              </w:rPr>
            </w:pPr>
            <w:r w:rsidRPr="00255FC2">
              <w:rPr>
                <w:rFonts w:ascii="바탕체" w:eastAsia="바탕체"/>
                <w:kern w:val="0"/>
                <w:szCs w:val="20"/>
              </w:rPr>
              <w:t xml:space="preserve">인용상표 </w:t>
            </w:r>
            <w:proofErr w:type="spellStart"/>
            <w:r w:rsidRPr="00255FC2">
              <w:rPr>
                <w:rFonts w:ascii="바탕체" w:eastAsia="바탕체"/>
                <w:kern w:val="0"/>
                <w:szCs w:val="20"/>
              </w:rPr>
              <w:t>스피클</w:t>
            </w:r>
            <w:proofErr w:type="spellEnd"/>
            <w:r w:rsidRPr="00255FC2">
              <w:rPr>
                <w:rFonts w:ascii="바탕체" w:eastAsia="바탕체"/>
                <w:kern w:val="0"/>
                <w:szCs w:val="20"/>
              </w:rPr>
              <w:t xml:space="preserve"> SPICL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ED70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Cs w:val="20"/>
              </w:rPr>
            </w:pPr>
          </w:p>
          <w:p w14:paraId="23DA9AB6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Cs w:val="20"/>
              </w:rPr>
            </w:pPr>
            <w:proofErr w:type="spellStart"/>
            <w:r w:rsidRPr="00255FC2">
              <w:rPr>
                <w:rFonts w:ascii="바탕체" w:eastAsia="바탕체"/>
                <w:kern w:val="0"/>
                <w:szCs w:val="20"/>
              </w:rPr>
              <w:t>i</w:t>
            </w:r>
            <w:proofErr w:type="spellEnd"/>
            <w:r w:rsidRPr="00255FC2">
              <w:rPr>
                <w:rFonts w:ascii="바탕체" w:eastAsia="바탕체"/>
                <w:kern w:val="0"/>
                <w:szCs w:val="20"/>
              </w:rPr>
              <w:t xml:space="preserve">의 </w:t>
            </w:r>
            <w:proofErr w:type="spellStart"/>
            <w:r w:rsidRPr="00255FC2">
              <w:rPr>
                <w:rFonts w:ascii="바탕체" w:eastAsia="바탕체"/>
                <w:kern w:val="0"/>
                <w:szCs w:val="20"/>
              </w:rPr>
              <w:t>모음뒤에</w:t>
            </w:r>
            <w:proofErr w:type="spellEnd"/>
            <w:r w:rsidRPr="00255FC2">
              <w:rPr>
                <w:rFonts w:ascii="바탕체" w:eastAsia="바탕체"/>
                <w:kern w:val="0"/>
                <w:szCs w:val="20"/>
              </w:rPr>
              <w:t xml:space="preserve"> 별다른 자음결합 없음.</w:t>
            </w:r>
          </w:p>
          <w:p w14:paraId="146DF45D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48C2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Cs w:val="20"/>
              </w:rPr>
            </w:pPr>
          </w:p>
          <w:p w14:paraId="2BA8246D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 w:val="24"/>
                <w:szCs w:val="24"/>
              </w:rPr>
            </w:pPr>
            <w:r w:rsidRPr="00255FC2">
              <w:rPr>
                <w:rFonts w:ascii="바탕체" w:eastAsia="바탕체"/>
                <w:kern w:val="0"/>
                <w:szCs w:val="20"/>
              </w:rPr>
              <w:t>발음이 새듯이 "피"로 발음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3D4A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Cs w:val="20"/>
              </w:rPr>
            </w:pPr>
          </w:p>
          <w:p w14:paraId="0E5E3BF8" w14:textId="77777777" w:rsidR="00255FC2" w:rsidRPr="00255FC2" w:rsidRDefault="00255FC2" w:rsidP="00255FC2">
            <w:pPr>
              <w:wordWrap/>
              <w:adjustRightInd w:val="0"/>
              <w:spacing w:after="0" w:line="312" w:lineRule="auto"/>
              <w:jc w:val="center"/>
              <w:rPr>
                <w:rFonts w:ascii="바탕체" w:eastAsia="바탕체"/>
                <w:kern w:val="0"/>
                <w:sz w:val="24"/>
                <w:szCs w:val="24"/>
              </w:rPr>
            </w:pPr>
            <w:proofErr w:type="spellStart"/>
            <w:r w:rsidRPr="00255FC2">
              <w:rPr>
                <w:rFonts w:ascii="바탕체" w:eastAsia="바탕체"/>
                <w:kern w:val="0"/>
                <w:szCs w:val="20"/>
              </w:rPr>
              <w:t>새어나감</w:t>
            </w:r>
            <w:proofErr w:type="spellEnd"/>
            <w:r w:rsidRPr="00255FC2">
              <w:rPr>
                <w:rFonts w:ascii="바탕체" w:eastAsia="바탕체"/>
                <w:kern w:val="0"/>
                <w:szCs w:val="20"/>
              </w:rPr>
              <w:t>.</w:t>
            </w:r>
          </w:p>
        </w:tc>
      </w:tr>
    </w:tbl>
    <w:p w14:paraId="406E5C29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64D270E0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 xml:space="preserve">(5) 판례를 살펴보면, 특허심판원 2019원1296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심결은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아래 두개의 상표의 호칭상의 유사여부에 대하여,</w:t>
      </w:r>
    </w:p>
    <w:p w14:paraId="7841355C" w14:textId="305FD42C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4AB599A" wp14:editId="66178BEC">
            <wp:extent cx="1485900" cy="1447800"/>
            <wp:effectExtent l="0" t="0" r="0" b="0"/>
            <wp:docPr id="22" name="그림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91184" w14:textId="77777777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/>
          <w:kern w:val="0"/>
          <w:sz w:val="24"/>
          <w:szCs w:val="24"/>
        </w:rPr>
        <w:t>&lt;출원상표&gt;</w:t>
      </w:r>
    </w:p>
    <w:p w14:paraId="0911E1FA" w14:textId="648E82E2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C991CDF" wp14:editId="2248F93E">
            <wp:extent cx="2095500" cy="1057275"/>
            <wp:effectExtent l="0" t="0" r="0" b="9525"/>
            <wp:docPr id="21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6F264" w14:textId="77777777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/>
          <w:kern w:val="0"/>
          <w:sz w:val="24"/>
          <w:szCs w:val="24"/>
        </w:rPr>
        <w:t>&lt;인용상표&gt;</w:t>
      </w:r>
    </w:p>
    <w:p w14:paraId="215D8D25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설령 출원상표 "Lunar SHOT"이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루나슛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으로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호칭되는 경우에도, 세번째 종성이 "슛"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으로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강하게 발음되는 점을 들어 수요자는 이들의 호칭을 식별할 수 있어 호칭상으로도 유사하지 않다고 판단을 하였습니다. </w:t>
      </w:r>
    </w:p>
    <w:p w14:paraId="1CFC7B5E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D157E19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 xml:space="preserve">즉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루나슛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vs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루나슈의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호칭에서, 세번째 종성의 "슛" 발음이 인용상표와는 달리 강하게 호칭된다는 점에 주목하여 두개의 상표가 호칭상 유사하지 않다고 판단을 내린 것입니다.</w:t>
      </w:r>
    </w:p>
    <w:p w14:paraId="5C933A5B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7329485" w14:textId="13DF30DE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8F56C21" wp14:editId="0CA793D6">
            <wp:extent cx="5476875" cy="2543175"/>
            <wp:effectExtent l="0" t="0" r="9525" b="9525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87588" w14:textId="77777777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/>
          <w:kern w:val="0"/>
          <w:sz w:val="24"/>
          <w:szCs w:val="24"/>
        </w:rPr>
        <w:t xml:space="preserve">&lt;특허심판원 2019원1296 </w:t>
      </w:r>
      <w:proofErr w:type="spellStart"/>
      <w:r w:rsidRPr="00255FC2">
        <w:rPr>
          <w:rFonts w:ascii="바탕체" w:eastAsia="바탕체" w:cs="바탕체" w:hint="eastAsia"/>
          <w:kern w:val="0"/>
          <w:sz w:val="24"/>
          <w:szCs w:val="24"/>
        </w:rPr>
        <w:t>심결문</w:t>
      </w:r>
      <w:proofErr w:type="spellEnd"/>
      <w:r w:rsidRPr="00255FC2">
        <w:rPr>
          <w:rFonts w:ascii="바탕체" w:eastAsia="바탕체" w:cs="바탕체"/>
          <w:kern w:val="0"/>
          <w:sz w:val="24"/>
          <w:szCs w:val="24"/>
        </w:rPr>
        <w:t xml:space="preserve"> 중 일부&gt;</w:t>
      </w:r>
    </w:p>
    <w:p w14:paraId="4A419342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50BB354D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 xml:space="preserve">참고적으로 본건 의견서에서 인용되는 판례들은 그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심결문과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판결문을 모두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첨부하오니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, 적극적으로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살펴봐주시기를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부탁드립니다.</w:t>
      </w:r>
    </w:p>
    <w:p w14:paraId="38F89B26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464C1EB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lastRenderedPageBreak/>
        <w:t xml:space="preserve">(6) 이러한 판단은 </w:t>
      </w:r>
      <w:r w:rsidRPr="00255FC2">
        <w:rPr>
          <w:rFonts w:ascii="바탕체" w:eastAsia="바탕체"/>
          <w:kern w:val="0"/>
          <w:sz w:val="24"/>
          <w:szCs w:val="24"/>
          <w:u w:val="single"/>
        </w:rPr>
        <w:t xml:space="preserve">짧은 음절로 구성된 표장에 있어서는 미세한 발음상 차이도 호칭의 유사 여부를 정하는데 중요한 의미를 가진다(특허법원 2005. 6. 2. 선고 2005허2038 판결 등 참조)는 특허법원의 판결에 기반을 둔 것이며, </w:t>
      </w:r>
      <w:r w:rsidRPr="00255FC2">
        <w:rPr>
          <w:rFonts w:ascii="바탕체" w:eastAsia="바탕체"/>
          <w:kern w:val="0"/>
          <w:sz w:val="24"/>
          <w:szCs w:val="24"/>
        </w:rPr>
        <w:t xml:space="preserve">이 판결을 기반으로 음절구조상 비슷한 면이 있는 상표들에 대하여 아래와 같이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비유사하다는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판단을 내렸습니다. 즉 출처의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오인혼동의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면에서 보았을 때 그러할 염려가 없고, 결국은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비유사하다는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판단을 내린 것입니다.</w:t>
      </w:r>
    </w:p>
    <w:p w14:paraId="1870284B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1C68982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  <w:u w:val="single"/>
        </w:rPr>
        <w:t>a. "NALO" vs "RARO"</w:t>
      </w:r>
    </w:p>
    <w:p w14:paraId="589605E9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E6D92A4" w14:textId="3633172D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A421503" wp14:editId="09C3C396">
            <wp:extent cx="2162175" cy="1076325"/>
            <wp:effectExtent l="0" t="0" r="9525" b="9525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FC2">
        <w:rPr>
          <w:rFonts w:ascii="바탕체" w:eastAsia="바탕체" w:cs="바탕체"/>
          <w:kern w:val="0"/>
          <w:sz w:val="24"/>
          <w:szCs w:val="24"/>
        </w:rPr>
        <w:t xml:space="preserve">   </w:t>
      </w:r>
    </w:p>
    <w:p w14:paraId="1C9F4CA3" w14:textId="7AC9746C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42D0B00" wp14:editId="3705F65F">
            <wp:extent cx="2124075" cy="942975"/>
            <wp:effectExtent l="0" t="0" r="9525" b="9525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BBF64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 xml:space="preserve">각각이 "나로"와 "라로"로 호칭되는 것으로서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청감상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구분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못할바는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아니고, 따라서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판단을 하였습니다. (특허심판원 2018당746 사건), </w:t>
      </w:r>
    </w:p>
    <w:p w14:paraId="42FA1F51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09044EA" w14:textId="0670B86C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F0BE307" wp14:editId="1717C86D">
            <wp:extent cx="5731510" cy="2326005"/>
            <wp:effectExtent l="0" t="0" r="2540" b="0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07A5C" w14:textId="77777777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/>
          <w:kern w:val="0"/>
          <w:sz w:val="24"/>
          <w:szCs w:val="24"/>
        </w:rPr>
        <w:t xml:space="preserve">&lt;특허심판원 2018당746 사건 </w:t>
      </w:r>
      <w:proofErr w:type="spellStart"/>
      <w:r w:rsidRPr="00255FC2">
        <w:rPr>
          <w:rFonts w:ascii="바탕체" w:eastAsia="바탕체" w:cs="바탕체"/>
          <w:kern w:val="0"/>
          <w:sz w:val="24"/>
          <w:szCs w:val="24"/>
        </w:rPr>
        <w:t>심결문</w:t>
      </w:r>
      <w:proofErr w:type="spellEnd"/>
      <w:r w:rsidRPr="00255FC2">
        <w:rPr>
          <w:rFonts w:ascii="바탕체" w:eastAsia="바탕체" w:cs="바탕체"/>
          <w:kern w:val="0"/>
          <w:sz w:val="24"/>
          <w:szCs w:val="24"/>
        </w:rPr>
        <w:t xml:space="preserve"> 중&gt;</w:t>
      </w:r>
    </w:p>
    <w:p w14:paraId="5252DB7C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4FBB0980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  <w:u w:val="single"/>
        </w:rPr>
        <w:t>b. "</w:t>
      </w:r>
      <w:proofErr w:type="spellStart"/>
      <w:r w:rsidRPr="00255FC2">
        <w:rPr>
          <w:rFonts w:ascii="바탕체" w:eastAsia="바탕체"/>
          <w:kern w:val="0"/>
          <w:sz w:val="24"/>
          <w:szCs w:val="24"/>
          <w:u w:val="single"/>
        </w:rPr>
        <w:t>햇빛찬</w:t>
      </w:r>
      <w:proofErr w:type="spellEnd"/>
      <w:r w:rsidRPr="00255FC2">
        <w:rPr>
          <w:rFonts w:ascii="바탕체" w:eastAsia="바탕체"/>
          <w:kern w:val="0"/>
          <w:sz w:val="24"/>
          <w:szCs w:val="24"/>
          <w:u w:val="single"/>
        </w:rPr>
        <w:t>" vs "</w:t>
      </w:r>
      <w:proofErr w:type="spellStart"/>
      <w:r w:rsidRPr="00255FC2">
        <w:rPr>
          <w:rFonts w:ascii="바탕체" w:eastAsia="바탕체"/>
          <w:kern w:val="0"/>
          <w:sz w:val="24"/>
          <w:szCs w:val="24"/>
          <w:u w:val="single"/>
        </w:rPr>
        <w:t>해비찬</w:t>
      </w:r>
      <w:proofErr w:type="spellEnd"/>
      <w:r w:rsidRPr="00255FC2">
        <w:rPr>
          <w:rFonts w:ascii="바탕체" w:eastAsia="바탕체"/>
          <w:kern w:val="0"/>
          <w:sz w:val="24"/>
          <w:szCs w:val="24"/>
          <w:u w:val="single"/>
        </w:rPr>
        <w:t>"</w:t>
      </w:r>
    </w:p>
    <w:p w14:paraId="55684B17" w14:textId="2D282ACA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6117030" wp14:editId="15B3C8B9">
            <wp:extent cx="1790700" cy="981075"/>
            <wp:effectExtent l="0" t="0" r="0" b="9525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FC2">
        <w:rPr>
          <w:rFonts w:ascii="바탕체" w:eastAsia="바탕체" w:cs="바탕체"/>
          <w:kern w:val="0"/>
          <w:sz w:val="24"/>
          <w:szCs w:val="24"/>
        </w:rPr>
        <w:t xml:space="preserve"> </w:t>
      </w:r>
    </w:p>
    <w:p w14:paraId="1D159829" w14:textId="6DBA1B23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609C9D0" wp14:editId="2A6B3417">
            <wp:extent cx="2400300" cy="1285875"/>
            <wp:effectExtent l="0" t="0" r="0" b="9525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B1876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아래를 이유로 이들이 호칭상 유사하지 않다고 판단을 하였습니다. (특허심판원 2020원222 사건)</w:t>
      </w:r>
    </w:p>
    <w:p w14:paraId="6D665037" w14:textId="10F1ECEB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00900B61" wp14:editId="268D2C87">
            <wp:extent cx="5731510" cy="4679315"/>
            <wp:effectExtent l="0" t="0" r="2540" b="6985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7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036A9" w14:textId="77777777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/>
          <w:kern w:val="0"/>
          <w:sz w:val="24"/>
          <w:szCs w:val="24"/>
        </w:rPr>
        <w:t xml:space="preserve">&lt;특허심판원 2020원222 사건 </w:t>
      </w:r>
      <w:proofErr w:type="spellStart"/>
      <w:r w:rsidRPr="00255FC2">
        <w:rPr>
          <w:rFonts w:ascii="바탕체" w:eastAsia="바탕체" w:cs="바탕체"/>
          <w:kern w:val="0"/>
          <w:sz w:val="24"/>
          <w:szCs w:val="24"/>
        </w:rPr>
        <w:t>심결문</w:t>
      </w:r>
      <w:proofErr w:type="spellEnd"/>
      <w:r w:rsidRPr="00255FC2">
        <w:rPr>
          <w:rFonts w:ascii="바탕체" w:eastAsia="바탕체" w:cs="바탕체"/>
          <w:kern w:val="0"/>
          <w:sz w:val="24"/>
          <w:szCs w:val="24"/>
        </w:rPr>
        <w:t xml:space="preserve"> 중&gt;</w:t>
      </w:r>
    </w:p>
    <w:p w14:paraId="33DD9B6E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57A0A0FA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  <w:u w:val="single"/>
        </w:rPr>
        <w:t>c. "</w:t>
      </w:r>
      <w:proofErr w:type="spellStart"/>
      <w:r w:rsidRPr="00255FC2">
        <w:rPr>
          <w:rFonts w:ascii="바탕체" w:eastAsia="바탕체"/>
          <w:kern w:val="0"/>
          <w:sz w:val="24"/>
          <w:szCs w:val="24"/>
          <w:u w:val="single"/>
        </w:rPr>
        <w:t>해선정</w:t>
      </w:r>
      <w:proofErr w:type="spellEnd"/>
      <w:r w:rsidRPr="00255FC2">
        <w:rPr>
          <w:rFonts w:ascii="바탕체" w:eastAsia="바탕체"/>
          <w:kern w:val="0"/>
          <w:sz w:val="24"/>
          <w:szCs w:val="24"/>
          <w:u w:val="single"/>
        </w:rPr>
        <w:t>" vs "하선정"</w:t>
      </w:r>
    </w:p>
    <w:p w14:paraId="484C84BD" w14:textId="27F89EA4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31114169" wp14:editId="422F345D">
            <wp:extent cx="5731510" cy="2326005"/>
            <wp:effectExtent l="0" t="0" r="254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D3268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kern w:val="0"/>
          <w:sz w:val="24"/>
          <w:szCs w:val="24"/>
        </w:rPr>
        <w:t>아래와</w:t>
      </w:r>
      <w:r w:rsidRPr="00255FC2">
        <w:rPr>
          <w:rFonts w:ascii="바탕체" w:eastAsia="바탕체" w:cs="바탕체"/>
          <w:kern w:val="0"/>
          <w:sz w:val="24"/>
          <w:szCs w:val="24"/>
        </w:rPr>
        <w:t xml:space="preserve"> 같이 두개의 상표는 모두 3음절로서 </w:t>
      </w:r>
      <w:proofErr w:type="spellStart"/>
      <w:r w:rsidRPr="00255FC2">
        <w:rPr>
          <w:rFonts w:ascii="바탕체" w:eastAsia="바탕체" w:cs="바탕체"/>
          <w:kern w:val="0"/>
          <w:sz w:val="24"/>
          <w:szCs w:val="24"/>
        </w:rPr>
        <w:t>첫음</w:t>
      </w:r>
      <w:r w:rsidRPr="00255FC2">
        <w:rPr>
          <w:rFonts w:ascii="바탕체" w:eastAsia="바탕체" w:cs="바탕체" w:hint="eastAsia"/>
          <w:kern w:val="0"/>
          <w:sz w:val="24"/>
          <w:szCs w:val="24"/>
        </w:rPr>
        <w:t>절이</w:t>
      </w:r>
      <w:proofErr w:type="spellEnd"/>
      <w:r w:rsidRPr="00255FC2">
        <w:rPr>
          <w:rFonts w:ascii="바탕체" w:eastAsia="바탕체" w:cs="바탕체"/>
          <w:kern w:val="0"/>
          <w:sz w:val="24"/>
          <w:szCs w:val="24"/>
        </w:rPr>
        <w:t xml:space="preserve"> </w:t>
      </w:r>
      <w:proofErr w:type="spellStart"/>
      <w:r w:rsidRPr="00255FC2">
        <w:rPr>
          <w:rFonts w:ascii="바탕체" w:eastAsia="바탕체" w:cs="바탕체"/>
          <w:kern w:val="0"/>
          <w:sz w:val="24"/>
          <w:szCs w:val="24"/>
        </w:rPr>
        <w:t>ㅎ으로</w:t>
      </w:r>
      <w:proofErr w:type="spellEnd"/>
      <w:r w:rsidRPr="00255FC2">
        <w:rPr>
          <w:rFonts w:ascii="바탕체" w:eastAsia="바탕체" w:cs="바탕체"/>
          <w:kern w:val="0"/>
          <w:sz w:val="24"/>
          <w:szCs w:val="24"/>
        </w:rPr>
        <w:t xml:space="preserve"> 시작되고 - 선정으로 </w:t>
      </w:r>
      <w:r w:rsidRPr="00255FC2">
        <w:rPr>
          <w:rFonts w:ascii="바탕체" w:eastAsia="바탕체"/>
          <w:kern w:val="0"/>
          <w:sz w:val="24"/>
          <w:szCs w:val="24"/>
        </w:rPr>
        <w:t>끝남에도 불구하고 호칭상 두개의 상표는 유사하지 않다고 판단하였습니다. (특허심판원 2021당3163 사건)</w:t>
      </w:r>
    </w:p>
    <w:p w14:paraId="55D3A143" w14:textId="5298841E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E072352" wp14:editId="36CC319F">
            <wp:extent cx="5731510" cy="2686050"/>
            <wp:effectExtent l="0" t="0" r="2540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E6D3E" w14:textId="77777777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/>
          <w:kern w:val="0"/>
          <w:sz w:val="24"/>
          <w:szCs w:val="24"/>
        </w:rPr>
        <w:t xml:space="preserve">&lt;특허심판원 2021당3163 사건 </w:t>
      </w:r>
      <w:proofErr w:type="spellStart"/>
      <w:r w:rsidRPr="00255FC2">
        <w:rPr>
          <w:rFonts w:ascii="바탕체" w:eastAsia="바탕체" w:cs="바탕체"/>
          <w:kern w:val="0"/>
          <w:sz w:val="24"/>
          <w:szCs w:val="24"/>
        </w:rPr>
        <w:t>심결문</w:t>
      </w:r>
      <w:proofErr w:type="spellEnd"/>
      <w:r w:rsidRPr="00255FC2">
        <w:rPr>
          <w:rFonts w:ascii="바탕체" w:eastAsia="바탕체" w:cs="바탕체"/>
          <w:kern w:val="0"/>
          <w:sz w:val="24"/>
          <w:szCs w:val="24"/>
        </w:rPr>
        <w:t xml:space="preserve"> 중&gt;</w:t>
      </w:r>
    </w:p>
    <w:p w14:paraId="1A11BE90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35C86864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  <w:u w:val="single"/>
        </w:rPr>
        <w:t>d. "Q * Coin" vs "</w:t>
      </w:r>
      <w:proofErr w:type="spellStart"/>
      <w:r w:rsidRPr="00255FC2">
        <w:rPr>
          <w:rFonts w:ascii="바탕체" w:eastAsia="바탕체"/>
          <w:kern w:val="0"/>
          <w:sz w:val="24"/>
          <w:szCs w:val="24"/>
          <w:u w:val="single"/>
        </w:rPr>
        <w:t>KuCoin</w:t>
      </w:r>
      <w:proofErr w:type="spellEnd"/>
      <w:r w:rsidRPr="00255FC2">
        <w:rPr>
          <w:rFonts w:ascii="바탕체" w:eastAsia="바탕체"/>
          <w:kern w:val="0"/>
          <w:sz w:val="24"/>
          <w:szCs w:val="24"/>
          <w:u w:val="single"/>
        </w:rPr>
        <w:t>"</w:t>
      </w:r>
    </w:p>
    <w:p w14:paraId="64598224" w14:textId="6E1AEDF1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72E305BF" wp14:editId="6BF3413F">
            <wp:extent cx="2276475" cy="1447800"/>
            <wp:effectExtent l="0" t="0" r="9525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299A9" w14:textId="40685469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A6069D9" wp14:editId="6D06FEC2">
            <wp:extent cx="2600325" cy="1752600"/>
            <wp:effectExtent l="0" t="0" r="9525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DC888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각각의 발음이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큐코인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"과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쿠코인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으로서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"큐"와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쿠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를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구분하지는 못할 바가 아니라고 하여 이 두개의 상표가 호칭상 유사하지 않다고 판단하였습니다. (특허심판원 2020원3050 사건)</w:t>
      </w:r>
    </w:p>
    <w:p w14:paraId="5F72BE9B" w14:textId="752FA66C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FC96E3E" wp14:editId="57871B50">
            <wp:extent cx="5731510" cy="1116965"/>
            <wp:effectExtent l="0" t="0" r="2540" b="698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718CC" w14:textId="06AF1580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D971424" wp14:editId="55DFD304">
            <wp:extent cx="5731510" cy="987425"/>
            <wp:effectExtent l="0" t="0" r="2540" b="317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F37CE" w14:textId="77777777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/>
          <w:kern w:val="0"/>
          <w:sz w:val="24"/>
          <w:szCs w:val="24"/>
        </w:rPr>
        <w:t>&lt;특허심</w:t>
      </w:r>
      <w:r w:rsidRPr="00255FC2">
        <w:rPr>
          <w:rFonts w:ascii="바탕체" w:eastAsia="바탕체" w:cs="바탕체" w:hint="eastAsia"/>
          <w:kern w:val="0"/>
          <w:sz w:val="24"/>
          <w:szCs w:val="24"/>
        </w:rPr>
        <w:t>판원</w:t>
      </w:r>
      <w:r w:rsidRPr="00255FC2">
        <w:rPr>
          <w:rFonts w:ascii="바탕체" w:eastAsia="바탕체" w:cs="바탕체"/>
          <w:kern w:val="0"/>
          <w:sz w:val="24"/>
          <w:szCs w:val="24"/>
        </w:rPr>
        <w:t xml:space="preserve"> 2020원3050 사건의 </w:t>
      </w:r>
      <w:proofErr w:type="spellStart"/>
      <w:r w:rsidRPr="00255FC2">
        <w:rPr>
          <w:rFonts w:ascii="바탕체" w:eastAsia="바탕체" w:cs="바탕체"/>
          <w:kern w:val="0"/>
          <w:sz w:val="24"/>
          <w:szCs w:val="24"/>
        </w:rPr>
        <w:t>심결문</w:t>
      </w:r>
      <w:proofErr w:type="spellEnd"/>
      <w:r w:rsidRPr="00255FC2">
        <w:rPr>
          <w:rFonts w:ascii="바탕체" w:eastAsia="바탕체" w:cs="바탕체"/>
          <w:kern w:val="0"/>
          <w:sz w:val="24"/>
          <w:szCs w:val="24"/>
        </w:rPr>
        <w:t xml:space="preserve"> 중&gt;</w:t>
      </w:r>
    </w:p>
    <w:p w14:paraId="691CB0AD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0CB2CAB2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  <w:u w:val="single"/>
        </w:rPr>
        <w:lastRenderedPageBreak/>
        <w:t xml:space="preserve">e. "BLAKCCIN </w:t>
      </w:r>
      <w:proofErr w:type="spellStart"/>
      <w:r w:rsidRPr="00255FC2">
        <w:rPr>
          <w:rFonts w:ascii="바탕체" w:eastAsia="바탕체"/>
          <w:kern w:val="0"/>
          <w:sz w:val="24"/>
          <w:szCs w:val="24"/>
          <w:u w:val="single"/>
        </w:rPr>
        <w:t>블랙신</w:t>
      </w:r>
      <w:proofErr w:type="spellEnd"/>
      <w:r w:rsidRPr="00255FC2">
        <w:rPr>
          <w:rFonts w:ascii="바탕체" w:eastAsia="바탕체"/>
          <w:kern w:val="0"/>
          <w:sz w:val="24"/>
          <w:szCs w:val="24"/>
          <w:u w:val="single"/>
        </w:rPr>
        <w:t>" vs "</w:t>
      </w:r>
      <w:proofErr w:type="spellStart"/>
      <w:r w:rsidRPr="00255FC2">
        <w:rPr>
          <w:rFonts w:ascii="바탕체" w:eastAsia="바탕체"/>
          <w:kern w:val="0"/>
          <w:sz w:val="24"/>
          <w:szCs w:val="24"/>
          <w:u w:val="single"/>
        </w:rPr>
        <w:t>Brexin</w:t>
      </w:r>
      <w:proofErr w:type="spellEnd"/>
      <w:r w:rsidRPr="00255FC2">
        <w:rPr>
          <w:rFonts w:ascii="바탕체" w:eastAsia="바탕체"/>
          <w:kern w:val="0"/>
          <w:sz w:val="24"/>
          <w:szCs w:val="24"/>
          <w:u w:val="single"/>
        </w:rPr>
        <w:t xml:space="preserve"> </w:t>
      </w:r>
      <w:proofErr w:type="spellStart"/>
      <w:r w:rsidRPr="00255FC2">
        <w:rPr>
          <w:rFonts w:ascii="바탕체" w:eastAsia="바탕체"/>
          <w:kern w:val="0"/>
          <w:sz w:val="24"/>
          <w:szCs w:val="24"/>
          <w:u w:val="single"/>
        </w:rPr>
        <w:t>브렉신</w:t>
      </w:r>
      <w:proofErr w:type="spellEnd"/>
      <w:r w:rsidRPr="00255FC2">
        <w:rPr>
          <w:rFonts w:ascii="바탕체" w:eastAsia="바탕체"/>
          <w:kern w:val="0"/>
          <w:sz w:val="24"/>
          <w:szCs w:val="24"/>
          <w:u w:val="single"/>
        </w:rPr>
        <w:t>"</w:t>
      </w:r>
    </w:p>
    <w:p w14:paraId="4216CD14" w14:textId="0B423D32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7EC9E32" wp14:editId="1BAE5D69">
            <wp:extent cx="2276475" cy="1552575"/>
            <wp:effectExtent l="0" t="0" r="9525" b="952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65DDD" w14:textId="3F7FADA7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B7D93F9" wp14:editId="4C1AE994">
            <wp:extent cx="3457575" cy="1019175"/>
            <wp:effectExtent l="0" t="0" r="9525" b="952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BF32C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각각의 호칭이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블랙신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"과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브렉신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으로서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청감상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유사한 면이 있지만, 3음절로서 짧은 음절로 구성되어 미세한 발음상의 차이도 호칭의 유사여부에 중요한 의미를 가지고, 호칭에서 가장 비중인 큰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첫음절이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블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"과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브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"로서 다른 점을 고려할 때, 호칭에서 유사하지 않다고 판단하였습니다. (특허심판원 2021원2994 사건)</w:t>
      </w:r>
    </w:p>
    <w:p w14:paraId="7D7CE3FB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B42FDE8" w14:textId="4EF3F652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3BA26696" wp14:editId="361140E9">
            <wp:extent cx="5731510" cy="2326005"/>
            <wp:effectExtent l="0" t="0" r="254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39283" w14:textId="77777777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/>
          <w:kern w:val="0"/>
          <w:sz w:val="24"/>
          <w:szCs w:val="24"/>
        </w:rPr>
        <w:t>&lt;특허심판원 2021원2994 사건</w:t>
      </w:r>
      <w:r w:rsidRPr="00255FC2">
        <w:rPr>
          <w:rFonts w:ascii="바탕체" w:eastAsia="바탕체" w:cs="바탕체" w:hint="eastAsia"/>
          <w:kern w:val="0"/>
          <w:sz w:val="24"/>
          <w:szCs w:val="24"/>
        </w:rPr>
        <w:t>의</w:t>
      </w:r>
      <w:r w:rsidRPr="00255FC2">
        <w:rPr>
          <w:rFonts w:ascii="바탕체" w:eastAsia="바탕체" w:cs="바탕체"/>
          <w:kern w:val="0"/>
          <w:sz w:val="24"/>
          <w:szCs w:val="24"/>
        </w:rPr>
        <w:t xml:space="preserve"> </w:t>
      </w:r>
      <w:proofErr w:type="spellStart"/>
      <w:r w:rsidRPr="00255FC2">
        <w:rPr>
          <w:rFonts w:ascii="바탕체" w:eastAsia="바탕체" w:cs="바탕체"/>
          <w:kern w:val="0"/>
          <w:sz w:val="24"/>
          <w:szCs w:val="24"/>
        </w:rPr>
        <w:t>심결문</w:t>
      </w:r>
      <w:proofErr w:type="spellEnd"/>
      <w:r w:rsidRPr="00255FC2">
        <w:rPr>
          <w:rFonts w:ascii="바탕체" w:eastAsia="바탕체" w:cs="바탕체"/>
          <w:kern w:val="0"/>
          <w:sz w:val="24"/>
          <w:szCs w:val="24"/>
        </w:rPr>
        <w:t xml:space="preserve"> 중&gt;</w:t>
      </w:r>
    </w:p>
    <w:p w14:paraId="4DE86E47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68DB6698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 xml:space="preserve">(7) 이렇게 판례들을 살펴보면, </w:t>
      </w:r>
      <w:r w:rsidRPr="00255FC2">
        <w:rPr>
          <w:rFonts w:ascii="바탕체" w:eastAsia="바탕체"/>
          <w:kern w:val="0"/>
          <w:sz w:val="24"/>
          <w:szCs w:val="24"/>
          <w:u w:val="single"/>
        </w:rPr>
        <w:t>짧은 음절로 구성된 표장에 대해서는 미세한 발음상의 차이도 호칭의 유사여부를 정하는데 중요한 의미를 지닌다</w:t>
      </w:r>
      <w:r w:rsidRPr="00255FC2">
        <w:rPr>
          <w:rFonts w:ascii="바탕체" w:eastAsia="바탕체"/>
          <w:kern w:val="0"/>
          <w:sz w:val="24"/>
          <w:szCs w:val="24"/>
        </w:rPr>
        <w:t xml:space="preserve">고 하고 있으며, 이에 따라서, </w:t>
      </w:r>
      <w:proofErr w:type="spellStart"/>
      <w:r w:rsidRPr="00255FC2">
        <w:rPr>
          <w:rFonts w:ascii="바탕체" w:eastAsia="바탕체"/>
          <w:kern w:val="0"/>
          <w:sz w:val="24"/>
          <w:szCs w:val="24"/>
          <w:u w:val="single"/>
        </w:rPr>
        <w:t>루나슛</w:t>
      </w:r>
      <w:proofErr w:type="spellEnd"/>
      <w:r w:rsidRPr="00255FC2">
        <w:rPr>
          <w:rFonts w:ascii="바탕체" w:eastAsia="바탕체"/>
          <w:kern w:val="0"/>
          <w:sz w:val="24"/>
          <w:szCs w:val="24"/>
          <w:u w:val="single"/>
        </w:rPr>
        <w:t xml:space="preserve"> vs </w:t>
      </w:r>
      <w:proofErr w:type="spellStart"/>
      <w:r w:rsidRPr="00255FC2">
        <w:rPr>
          <w:rFonts w:ascii="바탕체" w:eastAsia="바탕체"/>
          <w:kern w:val="0"/>
          <w:sz w:val="24"/>
          <w:szCs w:val="24"/>
          <w:u w:val="single"/>
        </w:rPr>
        <w:t>루나슈</w:t>
      </w:r>
      <w:proofErr w:type="spellEnd"/>
      <w:r w:rsidRPr="00255FC2">
        <w:rPr>
          <w:rFonts w:ascii="바탕체" w:eastAsia="바탕체"/>
          <w:kern w:val="0"/>
          <w:sz w:val="24"/>
          <w:szCs w:val="24"/>
          <w:u w:val="single"/>
        </w:rPr>
        <w:t>,</w:t>
      </w:r>
      <w:r w:rsidRPr="00255FC2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255FC2">
        <w:rPr>
          <w:rFonts w:ascii="바탕체" w:eastAsia="바탕체"/>
          <w:kern w:val="0"/>
          <w:sz w:val="24"/>
          <w:szCs w:val="24"/>
          <w:u w:val="single"/>
        </w:rPr>
        <w:t>블랙신</w:t>
      </w:r>
      <w:proofErr w:type="spellEnd"/>
      <w:r w:rsidRPr="00255FC2">
        <w:rPr>
          <w:rFonts w:ascii="바탕체" w:eastAsia="바탕체"/>
          <w:kern w:val="0"/>
          <w:sz w:val="24"/>
          <w:szCs w:val="24"/>
          <w:u w:val="single"/>
        </w:rPr>
        <w:t xml:space="preserve"> vs </w:t>
      </w:r>
      <w:proofErr w:type="spellStart"/>
      <w:r w:rsidRPr="00255FC2">
        <w:rPr>
          <w:rFonts w:ascii="바탕체" w:eastAsia="바탕체"/>
          <w:kern w:val="0"/>
          <w:sz w:val="24"/>
          <w:szCs w:val="24"/>
          <w:u w:val="single"/>
        </w:rPr>
        <w:t>브렉신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255FC2">
        <w:rPr>
          <w:rFonts w:ascii="바탕체" w:eastAsia="바탕체"/>
          <w:kern w:val="0"/>
          <w:sz w:val="24"/>
          <w:szCs w:val="24"/>
          <w:u w:val="single"/>
        </w:rPr>
        <w:t>큐코인</w:t>
      </w:r>
      <w:proofErr w:type="spellEnd"/>
      <w:r w:rsidRPr="00255FC2">
        <w:rPr>
          <w:rFonts w:ascii="바탕체" w:eastAsia="바탕체"/>
          <w:kern w:val="0"/>
          <w:sz w:val="24"/>
          <w:szCs w:val="24"/>
          <w:u w:val="single"/>
        </w:rPr>
        <w:t xml:space="preserve"> vs </w:t>
      </w:r>
      <w:proofErr w:type="spellStart"/>
      <w:r w:rsidRPr="00255FC2">
        <w:rPr>
          <w:rFonts w:ascii="바탕체" w:eastAsia="바탕체"/>
          <w:kern w:val="0"/>
          <w:sz w:val="24"/>
          <w:szCs w:val="24"/>
          <w:u w:val="single"/>
        </w:rPr>
        <w:t>쿠코인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255FC2">
        <w:rPr>
          <w:rFonts w:ascii="바탕체" w:eastAsia="바탕체"/>
          <w:kern w:val="0"/>
          <w:sz w:val="24"/>
          <w:szCs w:val="24"/>
          <w:u w:val="single"/>
        </w:rPr>
        <w:t>해선정</w:t>
      </w:r>
      <w:proofErr w:type="spellEnd"/>
      <w:r w:rsidRPr="00255FC2">
        <w:rPr>
          <w:rFonts w:ascii="바탕체" w:eastAsia="바탕체"/>
          <w:kern w:val="0"/>
          <w:sz w:val="24"/>
          <w:szCs w:val="24"/>
          <w:u w:val="single"/>
        </w:rPr>
        <w:t xml:space="preserve"> vs 하선정</w:t>
      </w:r>
      <w:r w:rsidRPr="00255FC2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255FC2">
        <w:rPr>
          <w:rFonts w:ascii="바탕체" w:eastAsia="바탕체"/>
          <w:kern w:val="0"/>
          <w:sz w:val="24"/>
          <w:szCs w:val="24"/>
          <w:u w:val="single"/>
        </w:rPr>
        <w:t>햇빛찬</w:t>
      </w:r>
      <w:proofErr w:type="spellEnd"/>
      <w:r w:rsidRPr="00255FC2">
        <w:rPr>
          <w:rFonts w:ascii="바탕체" w:eastAsia="바탕체"/>
          <w:kern w:val="0"/>
          <w:sz w:val="24"/>
          <w:szCs w:val="24"/>
          <w:u w:val="single"/>
        </w:rPr>
        <w:t xml:space="preserve"> vs </w:t>
      </w:r>
      <w:proofErr w:type="spellStart"/>
      <w:r w:rsidRPr="00255FC2">
        <w:rPr>
          <w:rFonts w:ascii="바탕체" w:eastAsia="바탕체"/>
          <w:kern w:val="0"/>
          <w:sz w:val="24"/>
          <w:szCs w:val="24"/>
          <w:u w:val="single"/>
        </w:rPr>
        <w:t>해비찬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, </w:t>
      </w:r>
      <w:r w:rsidRPr="00255FC2">
        <w:rPr>
          <w:rFonts w:ascii="바탕체" w:eastAsia="바탕체"/>
          <w:kern w:val="0"/>
          <w:sz w:val="24"/>
          <w:szCs w:val="24"/>
          <w:u w:val="single"/>
        </w:rPr>
        <w:t xml:space="preserve">나로 vs 라로 </w:t>
      </w:r>
      <w:r w:rsidRPr="00255FC2">
        <w:rPr>
          <w:rFonts w:ascii="바탕체" w:eastAsia="바탕체"/>
          <w:kern w:val="0"/>
          <w:sz w:val="24"/>
          <w:szCs w:val="24"/>
        </w:rPr>
        <w:t xml:space="preserve">들에 대하여 호칭상 출처의 혼동이 있을 정도로 유사하지 않아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판단하였습니다.</w:t>
      </w:r>
    </w:p>
    <w:p w14:paraId="43FBB607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A82F818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 xml:space="preserve">(8) 그런데 본건 사안은 미세한 발음상의 차이도 호칭의 유사여부에 있어 중요한 의미를 가진다고 판례가 지적한 3음절의 짧은 음절에 해당되는 것으로서, 양 상표는 중간음이 각각 터지는 파열음과 새는 발음으로서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청감이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상이하여 일반 </w:t>
      </w:r>
      <w:r w:rsidRPr="00255FC2">
        <w:rPr>
          <w:rFonts w:ascii="바탕체" w:eastAsia="바탕체"/>
          <w:kern w:val="0"/>
          <w:sz w:val="24"/>
          <w:szCs w:val="24"/>
        </w:rPr>
        <w:lastRenderedPageBreak/>
        <w:t>수요자에게 출처의 혼동을 야기할 가능성은 극히 낮습니다. 이러한 본건 사안을 판례의 경우와 비교하여 보면, 본건 상표가 인용상표와 유사하다고 판단할 수는 없다고 할 것입니다.</w:t>
      </w:r>
    </w:p>
    <w:p w14:paraId="7D748A7B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AF181BF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(9) 나아가서, 상표의 유사는 거래실정을 고려하여야 하고, 단순히 호칭만을 고려하여서는 안되고, 외관, 호칭 관념을 모두 고려하여 전체로서 출처의 혼동여부를 판단하여야 하는 것입니다. (특허법원 2021. 5. 13. 선고 2020허3720 판결 등</w:t>
      </w:r>
      <w:proofErr w:type="gramStart"/>
      <w:r w:rsidRPr="00255FC2">
        <w:rPr>
          <w:rFonts w:ascii="바탕체" w:eastAsia="바탕체"/>
          <w:kern w:val="0"/>
          <w:sz w:val="24"/>
          <w:szCs w:val="24"/>
        </w:rPr>
        <w:t>)  즉</w:t>
      </w:r>
      <w:proofErr w:type="gramEnd"/>
      <w:r w:rsidRPr="00255FC2">
        <w:rPr>
          <w:rFonts w:ascii="바탕체" w:eastAsia="바탕체"/>
          <w:kern w:val="0"/>
          <w:sz w:val="24"/>
          <w:szCs w:val="24"/>
        </w:rPr>
        <w:t xml:space="preserve"> 호칭의 측면에서 유사한 점이 있다고 하여 상표가 유사하게 되는 것이 아니라, </w:t>
      </w:r>
      <w:r w:rsidRPr="00255FC2">
        <w:rPr>
          <w:rFonts w:ascii="바탕체" w:eastAsia="바탕체"/>
          <w:kern w:val="0"/>
          <w:sz w:val="24"/>
          <w:szCs w:val="24"/>
          <w:u w:val="single"/>
        </w:rPr>
        <w:t xml:space="preserve">비록 호칭에서 유사한 점이 있어도, 상호간에 외관이 너무 다르고, 관념적으로 의미가 없거나 그 의미가 완전히 다를 경우에는 비유사로 </w:t>
      </w:r>
      <w:proofErr w:type="spellStart"/>
      <w:r w:rsidRPr="00255FC2">
        <w:rPr>
          <w:rFonts w:ascii="바탕체" w:eastAsia="바탕체"/>
          <w:kern w:val="0"/>
          <w:sz w:val="24"/>
          <w:szCs w:val="24"/>
          <w:u w:val="single"/>
        </w:rPr>
        <w:t>판단되어야하는</w:t>
      </w:r>
      <w:proofErr w:type="spellEnd"/>
      <w:r w:rsidRPr="00255FC2">
        <w:rPr>
          <w:rFonts w:ascii="바탕체" w:eastAsia="바탕체"/>
          <w:kern w:val="0"/>
          <w:sz w:val="24"/>
          <w:szCs w:val="24"/>
          <w:u w:val="single"/>
        </w:rPr>
        <w:t xml:space="preserve"> 것입니다.</w:t>
      </w:r>
    </w:p>
    <w:p w14:paraId="1E0B8056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A473823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이에 따라서, 예를 들어, 2020허3720 특허법원 판례는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Fowi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"와 "POI" 두개의 상표에 대하여 두 상표 모두 호칭이 "포이"로서 동일하지만, 외관이 현저히 다르고, 관념적으로는 대비할 수 없어, 양자 사이에 출처의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오인혼동이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있을 수 </w:t>
      </w:r>
      <w:r w:rsidRPr="00255FC2">
        <w:rPr>
          <w:rFonts w:ascii="바탕체" w:eastAsia="바탕체"/>
          <w:kern w:val="0"/>
          <w:sz w:val="24"/>
          <w:szCs w:val="24"/>
        </w:rPr>
        <w:lastRenderedPageBreak/>
        <w:t xml:space="preserve">없다고 하여 양자는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판단하였습니다.</w:t>
      </w:r>
    </w:p>
    <w:p w14:paraId="594168D6" w14:textId="4C6D6BB3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0466BFF" wp14:editId="0D77EA8A">
            <wp:extent cx="1752600" cy="17526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FC2">
        <w:rPr>
          <w:rFonts w:ascii="바탕체" w:eastAsia="바탕체" w:cs="바탕체"/>
          <w:kern w:val="0"/>
          <w:sz w:val="24"/>
          <w:szCs w:val="24"/>
        </w:rPr>
        <w:t xml:space="preserve">       </w:t>
      </w:r>
      <w:r w:rsidRPr="00255FC2">
        <w:rPr>
          <w:rFonts w:ascii="바탕체" w:eastAsia="바탕체" w:cs="바탕체" w:hint="eastAsia"/>
          <w:noProof/>
          <w:kern w:val="0"/>
          <w:sz w:val="24"/>
          <w:szCs w:val="24"/>
        </w:rPr>
        <w:drawing>
          <wp:inline distT="0" distB="0" distL="0" distR="0" wp14:anchorId="08A9F7DF" wp14:editId="55CB3DB7">
            <wp:extent cx="1590675" cy="1590675"/>
            <wp:effectExtent l="0" t="0" r="9525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FC2">
        <w:rPr>
          <w:rFonts w:ascii="바탕체" w:eastAsia="바탕체" w:cs="바탕체"/>
          <w:kern w:val="0"/>
          <w:sz w:val="24"/>
          <w:szCs w:val="24"/>
        </w:rPr>
        <w:t xml:space="preserve"> </w:t>
      </w:r>
    </w:p>
    <w:p w14:paraId="3D5FB694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또한 2020후10957 대법원 판례는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Urbansys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>"와 "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Avancis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" 두개의 상표에 대하여 "호칭이 유사함에도 불구하고 전체적으로 보았을 때 양 상표의 외관이 현저히 다르고, 관념을 대비할 수 없는 이상 일반 수요자에게 상품 출처에 관하여 </w:t>
      </w:r>
      <w:proofErr w:type="gramStart"/>
      <w:r w:rsidRPr="00255FC2">
        <w:rPr>
          <w:rFonts w:ascii="바탕체" w:eastAsia="바탕체"/>
          <w:kern w:val="0"/>
          <w:sz w:val="24"/>
          <w:szCs w:val="24"/>
        </w:rPr>
        <w:t>오인.혼동을</w:t>
      </w:r>
      <w:proofErr w:type="gramEnd"/>
      <w:r w:rsidRPr="00255FC2">
        <w:rPr>
          <w:rFonts w:ascii="바탕체" w:eastAsia="바탕체"/>
          <w:kern w:val="0"/>
          <w:sz w:val="24"/>
          <w:szCs w:val="24"/>
        </w:rPr>
        <w:t xml:space="preserve"> 일으킬 것으로 보이지 않는다."고 판단하였습니다.</w:t>
      </w:r>
    </w:p>
    <w:p w14:paraId="1BEC27A1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DB9197D" w14:textId="5B3E4BDF" w:rsidR="00255FC2" w:rsidRPr="00255FC2" w:rsidRDefault="00255FC2" w:rsidP="00255FC2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55FC2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B96DE81" wp14:editId="15AAF9D0">
            <wp:extent cx="1362075" cy="1362075"/>
            <wp:effectExtent l="0" t="0" r="9525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FC2">
        <w:rPr>
          <w:rFonts w:ascii="바탕체" w:eastAsia="바탕체" w:cs="바탕체"/>
          <w:kern w:val="0"/>
          <w:sz w:val="24"/>
          <w:szCs w:val="24"/>
        </w:rPr>
        <w:t xml:space="preserve">       </w:t>
      </w:r>
      <w:r w:rsidRPr="00255FC2">
        <w:rPr>
          <w:rFonts w:ascii="바탕체" w:eastAsia="바탕체" w:cs="바탕체" w:hint="eastAsia"/>
          <w:noProof/>
          <w:kern w:val="0"/>
          <w:sz w:val="24"/>
          <w:szCs w:val="24"/>
        </w:rPr>
        <w:drawing>
          <wp:inline distT="0" distB="0" distL="0" distR="0" wp14:anchorId="65E2F96A" wp14:editId="1985986C">
            <wp:extent cx="1362075" cy="136207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3AD9F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 xml:space="preserve">이렇게 보았을 때, 본건상표와 인용상표는 설령 호칭상 비슷한 점이 일부 있다고 하여도, 외관이 완전히 다르고, 관념도 다른 것으로서 양 상표의 사이에서 </w:t>
      </w:r>
      <w:r w:rsidRPr="00255FC2">
        <w:rPr>
          <w:rFonts w:ascii="바탕체" w:eastAsia="바탕체"/>
          <w:kern w:val="0"/>
          <w:sz w:val="24"/>
          <w:szCs w:val="24"/>
        </w:rPr>
        <w:lastRenderedPageBreak/>
        <w:t>출처의 혼동은 없다고 할 것입니다.</w:t>
      </w:r>
    </w:p>
    <w:p w14:paraId="7AF88519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B171635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 xml:space="preserve">(10) 더욱이 본건 상표와 인용상표는 모두 가방에 대한 것으로서, 수요자의 주의력이 높으며, 상표의 유사판단에 있어서 외관의 중요성이 높은 상품입니다. </w:t>
      </w:r>
      <w:r w:rsidRPr="00255FC2">
        <w:rPr>
          <w:rFonts w:ascii="바탕체" w:eastAsia="바탕체"/>
          <w:kern w:val="0"/>
          <w:sz w:val="24"/>
          <w:szCs w:val="24"/>
          <w:u w:val="single"/>
        </w:rPr>
        <w:t>즉 가방은 자신의 개성을 표출하기 위한 것으로서 아무거나 구매하지 않고 외관을 관찰하여 신중하게 구매되는 것으로서, 외관을 중심으로 하는 관찰의 중요성이 높으며, 또한 수요자의 주의력이 높다고 할 것입니다.</w:t>
      </w:r>
      <w:r w:rsidRPr="00255FC2">
        <w:rPr>
          <w:rFonts w:ascii="바탕체" w:eastAsia="바탕체"/>
          <w:kern w:val="0"/>
          <w:sz w:val="24"/>
          <w:szCs w:val="24"/>
        </w:rPr>
        <w:t xml:space="preserve"> 따라서, 이렇게 수요자가 높은 주의력으로 상표를 관찰하고 인식하며, 상표를 관찰함에 있어서 외관의 중요성이 높은 점을 고려하면, </w:t>
      </w:r>
      <w:r w:rsidRPr="00255FC2">
        <w:rPr>
          <w:rFonts w:ascii="바탕체" w:eastAsia="바탕체"/>
          <w:kern w:val="0"/>
          <w:sz w:val="24"/>
          <w:szCs w:val="24"/>
          <w:u w:val="single"/>
        </w:rPr>
        <w:t>더 더욱</w:t>
      </w:r>
      <w:r w:rsidRPr="00255FC2">
        <w:rPr>
          <w:rFonts w:ascii="바탕체" w:eastAsia="바탕체"/>
          <w:kern w:val="0"/>
          <w:sz w:val="24"/>
          <w:szCs w:val="24"/>
        </w:rPr>
        <w:t xml:space="preserve"> 두개의 상표는 혼동되지 않을 것입니다.</w:t>
      </w:r>
    </w:p>
    <w:p w14:paraId="2FBBA820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D2DA84B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(11) 이와 같이 본건 상표는 호칭상 인용상표와 유사하지 않으며, 외관, 호칭, 관념을 모두 종합적으로 고찰하였을 때 거래상 출처의 혼동을 생각하기 어려운 것이라 할 것입니다. 즉 본건 상표는 인용상표와 유사하지 않다고 할 것입니다.</w:t>
      </w:r>
    </w:p>
    <w:p w14:paraId="6B9E28D3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D910FDA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lastRenderedPageBreak/>
        <w:t>4. 정리</w:t>
      </w:r>
    </w:p>
    <w:p w14:paraId="3119F8EF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C6FC164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전술한 내용들을 정리하면 아래와 같습니다.</w:t>
      </w:r>
    </w:p>
    <w:p w14:paraId="765AE7A0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874DE36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 xml:space="preserve">첫째, 본건 상표는 인용상표들과 중간음의 모음과 자음의 결합구조가 다르고, 발음방식이 다르고, 이에 따라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청감이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상이한 것으로서 일반수요자가 양 상표를 호칭상 출처의 혼동을 느끼기는 매우 곤란합니다.</w:t>
      </w:r>
    </w:p>
    <w:p w14:paraId="567D8579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8765437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 xml:space="preserve">둘째, 판례를 살펴보아도, 본건 상표와 같은 3음절의 짧은 상표에 있어서는 미세한 발음상의 차이도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상표유사의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판단에 있어서 중요한 의미를 가지며, 판례의 사례들과 대비하여 본건 상표가 유사하다고 판단되기는 어렵다고 할 것입니다.</w:t>
      </w:r>
    </w:p>
    <w:p w14:paraId="5E8992FA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ED86838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 xml:space="preserve">셋째, 본건 상표는 가방에 관한 것으로서, 가방은 구매에 있어서 외관을 반드시 살피고 구매를 하는 상품으로서 외관이 특별히 중요한 상품이고, 또한 겉에 들고 </w:t>
      </w:r>
      <w:r w:rsidRPr="00255FC2">
        <w:rPr>
          <w:rFonts w:ascii="바탕체" w:eastAsia="바탕체"/>
          <w:kern w:val="0"/>
          <w:sz w:val="24"/>
          <w:szCs w:val="24"/>
        </w:rPr>
        <w:lastRenderedPageBreak/>
        <w:t xml:space="preserve">다니는 패션소품으로 수요자의 주의력이 매우 높다고 할 것입니다. 따라서 이러한 점들을 고려하였을 때 외관상 완전히 다르고, 발음(호칭)도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청감이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다른 본건 상표와 인용상표가 출처의 혼동을 야기할 할 것이라고 생각하기는 매우 어렵다 할 것입니다.</w:t>
      </w:r>
    </w:p>
    <w:p w14:paraId="2F231FA9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1825EC6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그러므로 본건 상표는 인용상표와 유사하지 않다고 할 것입니다.</w:t>
      </w:r>
    </w:p>
    <w:p w14:paraId="317ABD9A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CC89788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>5. 결론</w:t>
      </w:r>
    </w:p>
    <w:p w14:paraId="466A2D66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 xml:space="preserve">이와 같이 본건 상표와 인용상표는 유사하지 않다고 할 것입니다.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그러하오니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재심사하시어 출원공고결정을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내려주시기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바랍니다.</w:t>
      </w:r>
    </w:p>
    <w:p w14:paraId="725C7898" w14:textId="77777777" w:rsidR="00255FC2" w:rsidRPr="00255FC2" w:rsidRDefault="00255FC2" w:rsidP="00255FC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08B578D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  <w:u w:val="single"/>
        </w:rPr>
        <w:t>첨부자료:</w:t>
      </w:r>
    </w:p>
    <w:p w14:paraId="5CAAB1A2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 xml:space="preserve">1. 첨부자료1: 특허심판원 2019원1296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심결문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- Lunar SHOT vs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루나슈</w:t>
      </w:r>
      <w:proofErr w:type="spellEnd"/>
    </w:p>
    <w:p w14:paraId="1B6D85E5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 xml:space="preserve">2. 첨부자료2:  특허심판원 2018당746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심결문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- NALO vs RARO</w:t>
      </w:r>
    </w:p>
    <w:p w14:paraId="53B66733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 xml:space="preserve">3. 첨부자료3: 특허심판원 2020원222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심결문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-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햇빛찬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vs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해비찬</w:t>
      </w:r>
      <w:proofErr w:type="spellEnd"/>
    </w:p>
    <w:p w14:paraId="17A1F489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lastRenderedPageBreak/>
        <w:t xml:space="preserve">4. 첨부자료4: 특허심판원 2021당3163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심결문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-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해선정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vs 하선정</w:t>
      </w:r>
    </w:p>
    <w:p w14:paraId="3B2ED98D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 xml:space="preserve">5. 첨부자료5: 특허심판원 2020원3050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심결문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- Q * Coin vs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KuCoin</w:t>
      </w:r>
      <w:proofErr w:type="spellEnd"/>
    </w:p>
    <w:p w14:paraId="0F5CCF64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 xml:space="preserve">6. 첨부자료6: 특허심판원 2021원2994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심결문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- BLAKCCIN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블랙신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vs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Brexin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브렉신</w:t>
      </w:r>
      <w:proofErr w:type="spellEnd"/>
    </w:p>
    <w:p w14:paraId="768CE8A5" w14:textId="77777777" w:rsidR="00255FC2" w:rsidRPr="00255FC2" w:rsidRDefault="00255FC2" w:rsidP="00255FC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55FC2">
        <w:rPr>
          <w:rFonts w:ascii="바탕체" w:eastAsia="바탕체"/>
          <w:kern w:val="0"/>
          <w:sz w:val="24"/>
          <w:szCs w:val="24"/>
        </w:rPr>
        <w:t xml:space="preserve">7. 첨부자료7: 특허법원 2020허3720 판결문 -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Fowi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vs POI</w:t>
      </w:r>
    </w:p>
    <w:p w14:paraId="740FD2F8" w14:textId="16C6006C" w:rsidR="0050729C" w:rsidRDefault="00255FC2" w:rsidP="00255FC2">
      <w:r w:rsidRPr="00255FC2">
        <w:rPr>
          <w:rFonts w:ascii="바탕체" w:eastAsia="바탕체"/>
          <w:kern w:val="0"/>
          <w:sz w:val="24"/>
          <w:szCs w:val="24"/>
        </w:rPr>
        <w:t>8. 첨부자료8: 대법원 2020후10957 판결문 -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Urbansys</w:t>
      </w:r>
      <w:proofErr w:type="spellEnd"/>
      <w:r w:rsidRPr="00255FC2">
        <w:rPr>
          <w:rFonts w:ascii="바탕체" w:eastAsia="바탕체"/>
          <w:kern w:val="0"/>
          <w:sz w:val="24"/>
          <w:szCs w:val="24"/>
        </w:rPr>
        <w:t xml:space="preserve"> vs </w:t>
      </w:r>
      <w:proofErr w:type="spellStart"/>
      <w:r w:rsidRPr="00255FC2">
        <w:rPr>
          <w:rFonts w:ascii="바탕체" w:eastAsia="바탕체"/>
          <w:kern w:val="0"/>
          <w:sz w:val="24"/>
          <w:szCs w:val="24"/>
        </w:rPr>
        <w:t>Avancis</w:t>
      </w:r>
      <w:proofErr w:type="spellEnd"/>
    </w:p>
    <w:sectPr w:rsidR="0050729C">
      <w:footerReference w:type="default" r:id="rId3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ADBB2" w14:textId="77777777" w:rsidR="00255FC2" w:rsidRDefault="00255FC2" w:rsidP="00255FC2">
      <w:pPr>
        <w:spacing w:after="0" w:line="240" w:lineRule="auto"/>
      </w:pPr>
      <w:r>
        <w:separator/>
      </w:r>
    </w:p>
  </w:endnote>
  <w:endnote w:type="continuationSeparator" w:id="0">
    <w:p w14:paraId="40BF0AB2" w14:textId="77777777" w:rsidR="00255FC2" w:rsidRDefault="00255FC2" w:rsidP="00255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1366216"/>
      <w:docPartObj>
        <w:docPartGallery w:val="Page Numbers (Bottom of Page)"/>
        <w:docPartUnique/>
      </w:docPartObj>
    </w:sdtPr>
    <w:sdtContent>
      <w:p w14:paraId="15B8F81F" w14:textId="2A0F465E" w:rsidR="00255FC2" w:rsidRDefault="00255F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6C392B07" w14:textId="77777777" w:rsidR="00255FC2" w:rsidRDefault="00255F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85D8" w14:textId="77777777" w:rsidR="00255FC2" w:rsidRDefault="00255FC2" w:rsidP="00255FC2">
      <w:pPr>
        <w:spacing w:after="0" w:line="240" w:lineRule="auto"/>
      </w:pPr>
      <w:r>
        <w:separator/>
      </w:r>
    </w:p>
  </w:footnote>
  <w:footnote w:type="continuationSeparator" w:id="0">
    <w:p w14:paraId="01AA2717" w14:textId="77777777" w:rsidR="00255FC2" w:rsidRDefault="00255FC2" w:rsidP="00255F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C2"/>
    <w:rsid w:val="00255FC2"/>
    <w:rsid w:val="0050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7DFF3"/>
  <w15:chartTrackingRefBased/>
  <w15:docId w15:val="{CF35DC7E-1457-488D-88E6-48F52093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F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55FC2"/>
  </w:style>
  <w:style w:type="paragraph" w:styleId="a4">
    <w:name w:val="footer"/>
    <w:basedOn w:val="a"/>
    <w:link w:val="Char0"/>
    <w:uiPriority w:val="99"/>
    <w:unhideWhenUsed/>
    <w:rsid w:val="00255F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55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혁근 조</dc:creator>
  <cp:keywords/>
  <dc:description/>
  <cp:lastModifiedBy>혁근 조</cp:lastModifiedBy>
  <cp:revision>1</cp:revision>
  <dcterms:created xsi:type="dcterms:W3CDTF">2025-06-24T11:40:00Z</dcterms:created>
  <dcterms:modified xsi:type="dcterms:W3CDTF">2025-06-24T11:41:00Z</dcterms:modified>
</cp:coreProperties>
</file>