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3410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【의견내용】</w:t>
      </w:r>
    </w:p>
    <w:p w14:paraId="0AA8F73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1. 본건 상표등록출원 제40-2022-0093072호에 대한 의견제출통지서에 대하여 본 출원인은 아래와 같이 의견을 개진합니다.</w:t>
      </w:r>
    </w:p>
    <w:p w14:paraId="0F20FC0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F718CD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2. 본건 거절이유</w:t>
      </w:r>
    </w:p>
    <w:p w14:paraId="42349D9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(1) 본건 거절이유는 본건 출원상표가 아래 인용상표와 유사하다는 것입니다.</w:t>
      </w:r>
    </w:p>
    <w:p w14:paraId="778FB94C" w14:textId="300729BB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350AFDB" wp14:editId="19C1848F">
            <wp:extent cx="1600200" cy="1600200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47EF6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&lt;본건상표&gt;</w:t>
      </w:r>
    </w:p>
    <w:p w14:paraId="10478201" w14:textId="0D698E3B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9774179" wp14:editId="2C31CBF0">
            <wp:extent cx="1704975" cy="1704975"/>
            <wp:effectExtent l="0" t="0" r="9525" b="952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23A7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&lt;인용상표&gt;</w:t>
      </w:r>
    </w:p>
    <w:p w14:paraId="6A8B757D" w14:textId="77777777" w:rsidR="00E76EC2" w:rsidRPr="00E76EC2" w:rsidRDefault="00E76EC2" w:rsidP="00E76E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0327229E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lastRenderedPageBreak/>
        <w:t xml:space="preserve">(2) 이러한 거절이유는 인용상표에서 INNOCELL과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이노셀을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요부로 보고, 이 부분과 본건 상표가 호칭상 유사하다고 판단한 것이라 할 것입니다. 그런데,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이노셀은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기실 영문 INNOCELL의 음차표기에 지나지 않는다 할 것입니다.</w:t>
      </w:r>
    </w:p>
    <w:p w14:paraId="0F67B196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814851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3. 본건 상표와 인용상표에서 CELL의 식별력</w:t>
      </w:r>
    </w:p>
    <w:p w14:paraId="6642734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E4E812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(1) 본건 상표와 인용상표는 모두 - CELL로 이루어져 있는 것인데, 이들에 대하여 문제가 되는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G110101과 G390602에 대하여 살펴보면 CELL을 포함하는 상표들이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발견되며, CELL은 식별력이 없거나 미약한 것이라 할 것입니다.</w:t>
      </w:r>
    </w:p>
    <w:p w14:paraId="44BCAA4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4DC3C3C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(2) (갑) 제1호증과 (갑) 제2호증은 각각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G110101과 G390602에서 CELL을 포함하는 상표의 검색결과화면을 보이는데, 이들을 보면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G110101에서 총734개의 CELL을 포함하는 상표들이 발견이 되고,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G390602에서 총373개의 상표들이 발견이 됩니다. </w:t>
      </w:r>
    </w:p>
    <w:p w14:paraId="5FFF7B3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7281B9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(3) (갑) 제1호증의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G110101의 734개의 상표들은, 예를 들어, POLYCELL DUON,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Genecell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Biotech,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Muscell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GENEUCELL+,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cellock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cellpuri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GC셀, GC Cell,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evocell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CELLVIVE, CELLTFORGE,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Cellgram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, Medi Cell N Gene 등입니다.</w:t>
      </w:r>
    </w:p>
    <w:p w14:paraId="08B76BC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FAEE87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(4) (갑) 제2호증의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G390602의 373개의 상표들은, 예를 들어, CELL DIA, ULTRACELL,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Improcell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IOCELL,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Touchcell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TriCell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CellPod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, JOINT CELL 등입니다.</w:t>
      </w:r>
    </w:p>
    <w:p w14:paraId="741A07E1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5AD4856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(5) 기실, 본건 상표와 인용상표는 미용기기에 대한 것으로서 세포를 의미하는 CELL을 포함하는 상표들이 많이 존재하는 것은 충분히 예상된다고 할 것입니다. 이렇게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G110101과 G390602와 관련되어 CELL을 포함하는 상표들이 상당량 존재하는 것은 이들 분야에서 CELL의 식별력이 없거나 미약한 것을 말하다 할 것입니다.</w:t>
      </w:r>
    </w:p>
    <w:p w14:paraId="03BCDFF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FE9B11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4. 본건 상표는 과연 인용상표와 출처의 혼동을 일으킬 정도로 유사한가?</w:t>
      </w:r>
    </w:p>
    <w:p w14:paraId="433BCACC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7DFCF4C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(1) 본건 거절이유는 두개의 상표가 호칭상 유사하다는데 있습니다. 그러나 양 상표를 관찰함에 있어서,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양 상표는 모두 -CELL로 끝나는 구조를 가지는데, 여기서, CELL은 식별력이 없다는 점</w:t>
      </w:r>
      <w:r w:rsidRPr="00E76EC2">
        <w:rPr>
          <w:rFonts w:ascii="바탕체" w:eastAsia="바탕체"/>
          <w:kern w:val="0"/>
          <w:sz w:val="24"/>
          <w:szCs w:val="24"/>
        </w:rPr>
        <w:t>을 충분히 고려하여야 할 것입니다.</w:t>
      </w:r>
    </w:p>
    <w:p w14:paraId="102072A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7DA19B3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1) 즉 본건 상표와 인용상표를 비교함에 있어서, - CELL은 식별력이 없거나 미약함에 따라 수요자의 주의력은 주로 CELL이 아닌 그 앞부분에 집중된다고 할 것입니다. 즉 두 상표를 인식함에 있어서 수요자는 주로 "IRO-" 부분과 "INNO-" 부분에 집중하게 될 것입니다.</w:t>
      </w:r>
    </w:p>
    <w:p w14:paraId="1518BD0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1175BB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2) 이러한 경우, "IRO-"와 "INNO-"는 충분히 구별되는 것으로서, 양 상표사이에서 출처의 혼동은 없습니다. 즉 "IRO-"와 "INNO-"는 호칭의 면에서 각각 '이로-'와 '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이노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-'로서 각각이 2음절로서 총4개의 자모로 이루어지는데,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 xml:space="preserve">이중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ㄴ과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ㄹ이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다른 것으로서 25%에 해당되는 부분이 다른 것으로서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다르고, 관념의 면에서 후술하는 바와 같이 "IRO-"는 이롭다는 관념이 생성되거나 아무런 관념도 생성되지 않는 반면 "INNO-"는 Innovation의 약자로서 혁신의 관념이 생성되는 것으로서, 호칭을 들을 때 이로 인한 관념도 같이 생성되는 것으로서, 결국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청감도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다르면서 호칭을 들으면서 생성되는 관념도 다른 것으로서, 결국 호칭의 면에서도 양자는 충분히 구별되고, 이 둘 사이에서 출처의 혼동은 없다고 할 것입니다. (이것은 공과 곰이 단지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ㅇ과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ㅁ의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차이에 불과하지만 이 둘은 분명히 구별되는 것과 같은 이치라고 할 것입니다.)</w:t>
      </w:r>
    </w:p>
    <w:p w14:paraId="2826C74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2B817C1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3) 판례를 살펴보아도, </w:t>
      </w:r>
    </w:p>
    <w:p w14:paraId="1B7437F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4937AC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①</w:t>
      </w:r>
      <w:r w:rsidRPr="00E76EC2">
        <w:rPr>
          <w:rFonts w:ascii="바탕체" w:eastAsia="바탕체"/>
          <w:kern w:val="0"/>
          <w:sz w:val="24"/>
          <w:szCs w:val="24"/>
        </w:rPr>
        <w:t xml:space="preserve"> 아래 두개의 상표에 대하여 특허법원은 다음과 같이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SEQ가 식별력이 없으며 이에 따라서 수요자가 - SEQ 앞의 MGI와 MI에 집중하여 상표를 인식할 것으로서 양 상표는 유사하지 않다고 판단</w:t>
      </w:r>
      <w:r w:rsidRPr="00E76EC2">
        <w:rPr>
          <w:rFonts w:ascii="바탕체" w:eastAsia="바탕체"/>
          <w:kern w:val="0"/>
          <w:sz w:val="24"/>
          <w:szCs w:val="24"/>
        </w:rPr>
        <w:t>하였습니다. ((갑) 제3호증 특허법원 2022허4093 판결문 참조)</w:t>
      </w:r>
    </w:p>
    <w:p w14:paraId="38D94CA1" w14:textId="4B8DD0B5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5F177B6C" wp14:editId="78A0CAB7">
            <wp:extent cx="1333500" cy="1333500"/>
            <wp:effectExtent l="0" t="0" r="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8267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&lt;등록상표&gt;</w:t>
      </w:r>
    </w:p>
    <w:p w14:paraId="35604897" w14:textId="717F6FCE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2E6CE7B" wp14:editId="612C09C3">
            <wp:extent cx="1333500" cy="1333500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91E9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&lt;선등록상표&gt;</w:t>
      </w:r>
    </w:p>
    <w:p w14:paraId="6E63754D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</w:p>
    <w:p w14:paraId="78980D1F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- 다음 -</w:t>
      </w:r>
    </w:p>
    <w:p w14:paraId="7C3C4BBB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생물학 분야나 그와 관련된 거래업계에서는 DNA 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염기서열 을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분석하는 기법을 '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시퀀싱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(Sequencing)', 이러한 기능을 수행하는 기계를 '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시퀀서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(Sequencer)'라고 호칭되고 있는 점, 등록상표의 등록결정일 무렵에 국내외의 여러 업체들이 등록상표의 지정상품과 동일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 xml:space="preserve">유사한 상품에 대해 </w:t>
      </w:r>
      <w:r w:rsidRPr="00E76EC2">
        <w:rPr>
          <w:rFonts w:ascii="바탕체" w:eastAsia="바탕체"/>
          <w:kern w:val="0"/>
          <w:sz w:val="24"/>
          <w:szCs w:val="24"/>
        </w:rPr>
        <w:t>“</w:t>
      </w:r>
      <w:r w:rsidRPr="00E76EC2">
        <w:rPr>
          <w:rFonts w:ascii="바탕체" w:eastAsia="바탕체"/>
          <w:kern w:val="0"/>
          <w:sz w:val="24"/>
          <w:szCs w:val="24"/>
        </w:rPr>
        <w:t>SEQ(Seq)</w:t>
      </w:r>
      <w:r w:rsidRPr="00E76EC2">
        <w:rPr>
          <w:rFonts w:ascii="바탕체" w:eastAsia="바탕체"/>
          <w:kern w:val="0"/>
          <w:sz w:val="24"/>
          <w:szCs w:val="24"/>
        </w:rPr>
        <w:t>”</w:t>
      </w:r>
      <w:r w:rsidRPr="00E76EC2">
        <w:rPr>
          <w:rFonts w:ascii="바탕체" w:eastAsia="바탕체"/>
          <w:kern w:val="0"/>
          <w:sz w:val="24"/>
          <w:szCs w:val="24"/>
        </w:rPr>
        <w:t>를 포함한 상표들을 등록하거나 그를 포함한 상표들이 출원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 xml:space="preserve">공고되어 해당 업계에서 사용되고 있는 것으로 보이는 점 등을 고려해 보면,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등록상표와 선등록상표의 각 지정상품과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lastRenderedPageBreak/>
        <w:t xml:space="preserve">관련하여 일반 수요자나 거래자는 양 표장의 뒷부분인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“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SEQ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”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에 비하여 그 앞부분인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“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MGI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”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또는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“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MI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”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에 좀 더 집중하여 그 각 표장을 전체적으로 인식할 가능성이 높은 것으로 판단된다.</w:t>
      </w:r>
      <w:r w:rsidRPr="00E76EC2">
        <w:rPr>
          <w:rFonts w:ascii="바탕체" w:eastAsia="바탕체"/>
          <w:kern w:val="0"/>
          <w:sz w:val="24"/>
          <w:szCs w:val="24"/>
        </w:rPr>
        <w:t xml:space="preserve">  </w:t>
      </w:r>
    </w:p>
    <w:p w14:paraId="30322D4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0010A9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②</w:t>
      </w:r>
      <w:r w:rsidRPr="00E76EC2">
        <w:rPr>
          <w:rFonts w:ascii="바탕체" w:eastAsia="바탕체"/>
          <w:kern w:val="0"/>
          <w:sz w:val="24"/>
          <w:szCs w:val="24"/>
        </w:rPr>
        <w:t xml:space="preserve"> 또한, 특허법원은 아래 두개의 상표에 대하여 다음과 같이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GADO가 식별력이 없음에 이들 상표에서 </w:t>
      </w:r>
      <w:proofErr w:type="spellStart"/>
      <w:r w:rsidRPr="00E76EC2">
        <w:rPr>
          <w:rFonts w:ascii="바탕체" w:eastAsia="바탕체"/>
          <w:kern w:val="0"/>
          <w:sz w:val="24"/>
          <w:szCs w:val="24"/>
          <w:u w:val="single"/>
        </w:rPr>
        <w:t>앞단의</w:t>
      </w:r>
      <w:proofErr w:type="spellEnd"/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GADO-는 요부가 될 수 없고, 이들 상표의 요부는 각각 vision과 </w:t>
      </w:r>
      <w:proofErr w:type="spellStart"/>
      <w:r w:rsidRPr="00E76EC2">
        <w:rPr>
          <w:rFonts w:ascii="바탕체" w:eastAsia="바탕체"/>
          <w:kern w:val="0"/>
          <w:sz w:val="24"/>
          <w:szCs w:val="24"/>
          <w:u w:val="single"/>
        </w:rPr>
        <w:t>vist</w:t>
      </w:r>
      <w:proofErr w:type="spellEnd"/>
      <w:r w:rsidRPr="00E76EC2">
        <w:rPr>
          <w:rFonts w:ascii="바탕체" w:eastAsia="바탕체"/>
          <w:kern w:val="0"/>
          <w:sz w:val="24"/>
          <w:szCs w:val="24"/>
          <w:u w:val="single"/>
        </w:rPr>
        <w:t>로서 이들은 상호간에 유사하지 않다고 판단</w:t>
      </w:r>
      <w:r w:rsidRPr="00E76EC2">
        <w:rPr>
          <w:rFonts w:ascii="바탕체" w:eastAsia="바탕체"/>
          <w:kern w:val="0"/>
          <w:sz w:val="24"/>
          <w:szCs w:val="24"/>
        </w:rPr>
        <w:t>하였습니다. ((갑) 제4호증 특허법원 2020허4020 판결문 참조)</w:t>
      </w:r>
    </w:p>
    <w:p w14:paraId="130002F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27FB6B3" w14:textId="4F2BA6F6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B8BFBE9" wp14:editId="509A6BF0">
            <wp:extent cx="1333500" cy="1333500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09E22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&lt;등록상표&gt;</w:t>
      </w:r>
    </w:p>
    <w:p w14:paraId="5F0F6587" w14:textId="21834FD3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44BC81A" wp14:editId="2431B1EB">
            <wp:extent cx="1333500" cy="13335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E174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&lt;선등록상표&gt;</w:t>
      </w:r>
    </w:p>
    <w:p w14:paraId="3EF4112F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</w:p>
    <w:p w14:paraId="3443FD3C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- 다음 -</w:t>
      </w:r>
    </w:p>
    <w:p w14:paraId="2F56B36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  <w:u w:val="single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등록상표의 상단 영문부분, 하단 한글부분은 분리되어 그 부분만으로 인식될 수 있다. 이 사건 등록상표와 선등록상표 중 앞부분의 </w:t>
      </w:r>
      <w:r w:rsidRPr="00E76EC2">
        <w:rPr>
          <w:rFonts w:ascii="바탕체" w:eastAsia="바탕체"/>
          <w:kern w:val="0"/>
          <w:sz w:val="24"/>
          <w:szCs w:val="24"/>
        </w:rPr>
        <w:t>‘</w:t>
      </w:r>
      <w:r w:rsidRPr="00E76EC2">
        <w:rPr>
          <w:rFonts w:ascii="바탕체" w:eastAsia="바탕체"/>
          <w:kern w:val="0"/>
          <w:sz w:val="24"/>
          <w:szCs w:val="24"/>
        </w:rPr>
        <w:t>GADO-(Gado-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)</w:t>
      </w:r>
      <w:r w:rsidRPr="00E76EC2">
        <w:rPr>
          <w:rFonts w:ascii="바탕체" w:eastAsia="바탕체"/>
          <w:kern w:val="0"/>
          <w:sz w:val="24"/>
          <w:szCs w:val="24"/>
        </w:rPr>
        <w:t>‘</w:t>
      </w:r>
      <w:r w:rsidRPr="00E76EC2">
        <w:rPr>
          <w:rFonts w:ascii="바탕체" w:eastAsia="바탕체"/>
          <w:kern w:val="0"/>
          <w:sz w:val="24"/>
          <w:szCs w:val="24"/>
        </w:rPr>
        <w:t xml:space="preserve"> 부분은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조영제의 주성분인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가돌리늄에서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유래한 부분으로서, 국제적으로 MRI 촬영과정에서 사용되는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가돌리늄을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함유한 조영제의 약칭으로도 사용되는 점, 국내에서도 조영제 중 상당수가 그 제품명의 접두사로 </w:t>
      </w:r>
      <w:r w:rsidRPr="00E76EC2">
        <w:rPr>
          <w:rFonts w:ascii="바탕체" w:eastAsia="바탕체"/>
          <w:kern w:val="0"/>
          <w:sz w:val="24"/>
          <w:szCs w:val="24"/>
        </w:rPr>
        <w:t>‘</w:t>
      </w:r>
      <w:r w:rsidRPr="00E76EC2">
        <w:rPr>
          <w:rFonts w:ascii="바탕체" w:eastAsia="바탕체"/>
          <w:kern w:val="0"/>
          <w:sz w:val="24"/>
          <w:szCs w:val="24"/>
        </w:rPr>
        <w:t>GADO-</w:t>
      </w:r>
      <w:r w:rsidRPr="00E76EC2">
        <w:rPr>
          <w:rFonts w:ascii="바탕체" w:eastAsia="바탕체"/>
          <w:kern w:val="0"/>
          <w:sz w:val="24"/>
          <w:szCs w:val="24"/>
        </w:rPr>
        <w:t>’</w:t>
      </w:r>
      <w:r w:rsidRPr="00E76EC2">
        <w:rPr>
          <w:rFonts w:ascii="바탕체" w:eastAsia="바탕체"/>
          <w:kern w:val="0"/>
          <w:sz w:val="24"/>
          <w:szCs w:val="24"/>
        </w:rPr>
        <w:t xml:space="preserve">를 사용하고 있는 점, </w:t>
      </w:r>
      <w:r w:rsidRPr="00E76EC2">
        <w:rPr>
          <w:rFonts w:ascii="바탕체" w:eastAsia="바탕체"/>
          <w:kern w:val="0"/>
          <w:sz w:val="24"/>
          <w:szCs w:val="24"/>
        </w:rPr>
        <w:t>‘</w:t>
      </w:r>
      <w:r w:rsidRPr="00E76EC2">
        <w:rPr>
          <w:rFonts w:ascii="바탕체" w:eastAsia="바탕체"/>
          <w:kern w:val="0"/>
          <w:sz w:val="24"/>
          <w:szCs w:val="24"/>
        </w:rPr>
        <w:t>가도-</w:t>
      </w:r>
      <w:r w:rsidRPr="00E76EC2">
        <w:rPr>
          <w:rFonts w:ascii="바탕체" w:eastAsia="바탕체"/>
          <w:kern w:val="0"/>
          <w:sz w:val="24"/>
          <w:szCs w:val="24"/>
        </w:rPr>
        <w:t>’</w:t>
      </w:r>
      <w:r w:rsidRPr="00E76EC2">
        <w:rPr>
          <w:rFonts w:ascii="바탕체" w:eastAsia="바탕체"/>
          <w:kern w:val="0"/>
          <w:sz w:val="24"/>
          <w:szCs w:val="24"/>
        </w:rPr>
        <w:t xml:space="preserve">는 </w:t>
      </w:r>
      <w:r w:rsidRPr="00E76EC2">
        <w:rPr>
          <w:rFonts w:ascii="바탕체" w:eastAsia="바탕체"/>
          <w:kern w:val="0"/>
          <w:sz w:val="24"/>
          <w:szCs w:val="24"/>
        </w:rPr>
        <w:t>‘</w:t>
      </w:r>
      <w:r w:rsidRPr="00E76EC2">
        <w:rPr>
          <w:rFonts w:ascii="바탕체" w:eastAsia="바탕체"/>
          <w:kern w:val="0"/>
          <w:sz w:val="24"/>
          <w:szCs w:val="24"/>
        </w:rPr>
        <w:t>GADO-</w:t>
      </w:r>
      <w:r w:rsidRPr="00E76EC2">
        <w:rPr>
          <w:rFonts w:ascii="바탕체" w:eastAsia="바탕체"/>
          <w:kern w:val="0"/>
          <w:sz w:val="24"/>
          <w:szCs w:val="24"/>
        </w:rPr>
        <w:t>’</w:t>
      </w:r>
      <w:r w:rsidRPr="00E76EC2">
        <w:rPr>
          <w:rFonts w:ascii="바탕체" w:eastAsia="바탕체"/>
          <w:kern w:val="0"/>
          <w:sz w:val="24"/>
          <w:szCs w:val="24"/>
        </w:rPr>
        <w:t xml:space="preserve">의 한국어 발음으로 쉽게 인식되는 점 등을 고려하면,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이 사건 등록상표와 선등록상표들의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‘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GADO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’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‘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가도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’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부분은 식별력이 없을 뿐만 아니라 공익상으로 보아 특정인에게 </w:t>
      </w:r>
      <w:proofErr w:type="spellStart"/>
      <w:r w:rsidRPr="00E76EC2">
        <w:rPr>
          <w:rFonts w:ascii="바탕체" w:eastAsia="바탕체"/>
          <w:kern w:val="0"/>
          <w:sz w:val="24"/>
          <w:szCs w:val="24"/>
          <w:u w:val="single"/>
        </w:rPr>
        <w:t>독점시키는</w:t>
      </w:r>
      <w:proofErr w:type="spellEnd"/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것이 적당하지 않은 부분이어서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lastRenderedPageBreak/>
        <w:t xml:space="preserve">요부가 될 수 없다. </w:t>
      </w:r>
    </w:p>
    <w:p w14:paraId="2C2C35C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717ED3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4) 이와 같은 판례에 따를 경우에도, 본건 상표와 인용상표에서 - CELL은 식별력이 없거나 미약하여 그 앞의 부분을 중심으로 인식을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하게되어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그 앞의 부분이 요부가 된다고 할 것으로서, 이러한 경우 "IRO-"와 "INNO-"는 충분히 구별이 되는 것으로서 양자 사이에 출처의 혼동의 염려는 없는 것입니다.</w:t>
      </w:r>
    </w:p>
    <w:p w14:paraId="2BF3E2E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6544076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(2) 결국 본건 상표와 인용 상표는 일견하여 호칭상 유사하다고 느껴질 수도 있겠지만, 실상은 수요자가 상표를 인식함에 있어서 식별력이 없거나 미약한 후단의 -CELL이 아닌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앞단의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"IRO-"와 "INNO-"를 중심으로 인식하게 될 것으로서 이들 사이에 출처의 혼동을 생각하기는 어렵다고 할 것입니다.</w:t>
      </w:r>
    </w:p>
    <w:p w14:paraId="2939BD78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7266CD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(3) 한편으로, 본건 상표와 인용상표는 관념적으로도 완전히 다릅니다. 즉 본건 상표는 "IROCELL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이로셀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"로서, 발음상 이로 - 부분으로 인하여 이롭다는 관념을 일으킵니다. (아니면 아무런 관념이 없다고 할 것입니다.) 반면에 인용상표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>"INNOCELL"로서 "INNO"로 인하여 혁신적이라는 관념을 일으킵니다. 즉 INNO는 INNOVATION의 약어로서 널리 사용되는 것으로서 혁신의 관념을 일으킨다고 할 것입니다. 따라서 본건 상표는 이롭다는 관념을 일으키거나 아무런 관념이 없는 반면, 인용상표는 혁신적이라는 관념을 일으키는 것으로서 양자는 관념상 완전히 다르다고 할 것입니다.</w:t>
      </w:r>
    </w:p>
    <w:p w14:paraId="0829B86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39390B8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(4) 나아가서, 상표의 유사는 거래실정을 고려하여야 하고, 단순히 호칭만을 고려하여서는 안되고, 외관, 호칭 관념을 모두 고려하여 전체로서 출처의 혼동여부를 판단하여야 하는 것입니다. (특허법원 2021. 5. 13. 선고 2020허3720 판결 등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)  즉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호칭의 측면에서 유사한 점이 있다고 하여 상표가 유사하게 되는 것이 아니라,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비록 호칭에서 유사한 점이 있어도, 상호간에 외관이 너무 다르고, 관념적으로 의미가 없거나 그 의미가 완전히 다를 경우에는 비유사로 </w:t>
      </w:r>
      <w:proofErr w:type="spellStart"/>
      <w:r w:rsidRPr="00E76EC2">
        <w:rPr>
          <w:rFonts w:ascii="바탕체" w:eastAsia="바탕체"/>
          <w:kern w:val="0"/>
          <w:sz w:val="24"/>
          <w:szCs w:val="24"/>
          <w:u w:val="single"/>
        </w:rPr>
        <w:t>판단되어야하는</w:t>
      </w:r>
      <w:proofErr w:type="spellEnd"/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것입니다.</w:t>
      </w:r>
    </w:p>
    <w:p w14:paraId="0F23CC1F" w14:textId="77777777" w:rsidR="00E76EC2" w:rsidRPr="00E76EC2" w:rsidRDefault="00E76EC2" w:rsidP="00E76E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B5A7C9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이에 따라서, 예를 들어, 2020허3720 특허법원 판례는 "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Fowi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"와 "POI" 두개의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 xml:space="preserve">상표에 대하여 두 상표 모두 호칭이 "포이"로서 동일하지만, 외관이 현저히 다르고, 관념적으로는 대비할 수 없어, 양자 사이에 출처의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있을 수 없다고 하여 양자는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판단하였습니다.</w:t>
      </w:r>
    </w:p>
    <w:p w14:paraId="096B1AC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CEE2CDC" w14:textId="785BABB6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A485899" wp14:editId="5E36D379">
            <wp:extent cx="1857375" cy="185737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047BC68B" wp14:editId="5D5709A5">
            <wp:extent cx="1790700" cy="179070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083BF075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</w:p>
    <w:p w14:paraId="7E8467C8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또한 2020후10957 대법원 판례는 "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"와 "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Avancis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" 두개의 상표에 대하여 "호칭이 유사함에도 불구하고 전체적으로 보았을 때 양 상표의 외관이 현저히 다르고, 관념을 대비할 수 없는 이상 일반 수요자에게 상품 출처에 관하여 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일으킬 것으로 보이지 않는다."고 판단하였습니다. </w:t>
      </w:r>
    </w:p>
    <w:p w14:paraId="388E5519" w14:textId="77777777" w:rsidR="00E76EC2" w:rsidRPr="00E76EC2" w:rsidRDefault="00E76EC2" w:rsidP="00E76E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7637A38" w14:textId="34AF0FE5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B7C779F" wp14:editId="7459D0E0">
            <wp:extent cx="1600200" cy="16002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 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1105E049" wp14:editId="450EF736">
            <wp:extent cx="1628775" cy="1628775"/>
            <wp:effectExtent l="0" t="0" r="952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A3E3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이렇게 보았을 때, 본건상표와 인용상표는 호칭상 일견하여 일부 유사하다고 느껴질 수 있는 점이 있지만, 외관이 완전히 다르고, 관념도 다른 것으로서 양 상표의 사이에서 출처의 혼동은 없다고 할 것입니다.</w:t>
      </w:r>
    </w:p>
    <w:p w14:paraId="20202ABC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D143E06" w14:textId="5929B1A3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97A1BF9" wp14:editId="01208F64">
            <wp:extent cx="1571625" cy="157162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29D8" w14:textId="557E7F75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C8FF5ED" wp14:editId="639B3CF5">
            <wp:extent cx="1704975" cy="1704975"/>
            <wp:effectExtent l="0" t="0" r="9525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301D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</w:p>
    <w:p w14:paraId="4B88B0E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lastRenderedPageBreak/>
        <w:t>(5) 더욱이 본건 상표와 인용상표는 모두 미용기기로서, 수요자의 주의력이 높은 상품입니다. 즉 자신의 피부와 외모를 가꾸기 위한 미용기기로서 함부로 아무거나 사용하지 않으며 그 만큼 상표를 관찰함에 있어서 높은 주의력으로 관찰한다고 할 것입니다. 따라서, 이렇게 수요자가 높은 주의력으로 상표를 관찰하고 인식하는 점을 고려하면, 더 더욱 두개의 상표는 혼동되지 않을 것입니다.</w:t>
      </w:r>
    </w:p>
    <w:p w14:paraId="55F7B588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AFC08E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(6) 실제로 현재 두개의 상표는 실제로 유통이 되고 있는데, 양자의 사이에 어떠한 출처의 혼동도 없이 각자가 독립하여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잘사용되고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있습니다. 아래의 사진들은 각각 본건상표와 인용상표가 사용되는 현황을 보이는데, 이들은 각자가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서로간에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어떠한 혼동도 없이 독립하여 각자의 출처표시기능을 발휘하면서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잘사용되고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있는 것입니다.</w:t>
      </w:r>
    </w:p>
    <w:p w14:paraId="51EE98B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96504DC" w14:textId="2B03AC13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9DA501A" wp14:editId="38B24B68">
            <wp:extent cx="3114675" cy="3648075"/>
            <wp:effectExtent l="0" t="0" r="9525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85319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&lt;본건 상표의 사용현황&gt;</w:t>
      </w:r>
    </w:p>
    <w:p w14:paraId="7A18C47D" w14:textId="797A90A0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73FC877" wp14:editId="2D6AE908">
            <wp:extent cx="3495675" cy="338137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EA85" w14:textId="77777777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/>
          <w:kern w:val="0"/>
          <w:sz w:val="24"/>
          <w:szCs w:val="24"/>
        </w:rPr>
        <w:t>&lt;인용상표의 사용현황&gt;</w:t>
      </w:r>
    </w:p>
    <w:p w14:paraId="0CCFB494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</w:p>
    <w:p w14:paraId="174F577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(7) 판례에 따르면『2개의 상표가 상표 자체의 외관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>칭호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>관념에서 서로 유사하여 일반적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>추상적</w:t>
      </w:r>
      <w:r w:rsidRPr="00E76EC2">
        <w:rPr>
          <w:rFonts w:ascii="바탕체" w:eastAsia="바탕체"/>
          <w:kern w:val="0"/>
          <w:sz w:val="24"/>
          <w:szCs w:val="24"/>
        </w:rPr>
        <w:t>·</w:t>
      </w:r>
      <w:r w:rsidRPr="00E76EC2">
        <w:rPr>
          <w:rFonts w:ascii="바탕체" w:eastAsia="바탕체"/>
          <w:kern w:val="0"/>
          <w:sz w:val="24"/>
          <w:szCs w:val="24"/>
        </w:rPr>
        <w:t xml:space="preserve">정형적으로는 양 상표가 서로 유사해 보인다 하더라도, 당해 상품을 둘러싼 일반적인 거래실정과 상표의 주지 정도 및 당해 상품과의 관계 등을 종합적. 전체적으로 고려하여,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거래사회에서 수요자들이 구체적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·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개별적으로는 상품의 출처에 관하여 오인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·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혼동할 염려가 없을 경우,</w:t>
      </w:r>
      <w:r w:rsidRPr="00E76EC2">
        <w:rPr>
          <w:rFonts w:ascii="바탕체" w:eastAsia="바탕체"/>
          <w:kern w:val="0"/>
          <w:sz w:val="24"/>
          <w:szCs w:val="24"/>
        </w:rPr>
        <w:t xml:space="preserve"> 양 상표가 공존하더라도 당해 상표권자나 수요자 및 거래자들의 보호에 아무런 지장이 없으므로, 그러한 상표의 등록을 금지하거나 등록된 상표를 무효라고 할 수 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없다( 대법원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1996. 9. 24. 선고 96후153, 96후191 판결, 2000. 1. 21. 선고 99후2532 판결 등 참조)』고 하고 있습니다. </w:t>
      </w:r>
    </w:p>
    <w:p w14:paraId="59DAADC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54933FC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마찬가지로 본건 상표와 인용상표는 현실적으로 출처의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없이 병존(竝存)하여 사용되고 있는 것으로서, 인용상표로 인하여 본건 상표의 등록을 금할 이유가 없는 것입니다. 즉 본건 상표와 인용상표는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서로간에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>할 것입니다.</w:t>
      </w:r>
    </w:p>
    <w:p w14:paraId="545C271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E5436F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(8) 이와 같이 본건 상표는 인용상표와 어떠한 출처의 혼동의 염려가 없는 것입니다. 따라서 결국 양 상표는 유사하지 않다고 할 것입니다.</w:t>
      </w:r>
    </w:p>
    <w:p w14:paraId="2FCE19AB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0BB90E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5. 본건 상표와 인용상표의 유사여부</w:t>
      </w:r>
    </w:p>
    <w:p w14:paraId="06B301AE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C542B2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(1) 본건 상표와 인용상표를 관찰함에 있어서 고려하여야 할 사항들</w:t>
      </w:r>
    </w:p>
    <w:p w14:paraId="64095BA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60EDF2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첫째, 본건 상표와 인용상표는 모두 미용기기에 대한 것으로서 주로 여성들이 자신의 미(美)를 가꾸기 위한 것으로서 수요자의 주의력은 높다고 할 것입니다.</w:t>
      </w:r>
    </w:p>
    <w:p w14:paraId="1392C251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035624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둘째, 높은 주의력으로 관찰되는 본건 상표와 인용상표는 -CELL로 끝나는 상표들인데, 이들 상표의 지정상품과 관련되어 CELL은 식별력이 없거나 미약한 것으로서,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앞단의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"IRO-"와 "INNO-"를 중심으로 상표를 인식하게 될 것입니다.</w:t>
      </w:r>
    </w:p>
    <w:p w14:paraId="1B08619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B9493E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셋째, 본건 상표는 이롭다는 관념을 일으키거나 수요자에 따라서 아무런 관념도 느끼지 못할 것입니다. 그러나 인용상표는 INNO-로 인하여 INNOVATION 또는 혁신의 관념을 느낄 것으로서, 수요자가 앙 상표에서 느끼는 관념은 완전히 다릅니다.</w:t>
      </w:r>
    </w:p>
    <w:p w14:paraId="7DFA058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BB3611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넷째, 외관상으로도 양 상표는 완전히 다릅니다.</w:t>
      </w:r>
    </w:p>
    <w:p w14:paraId="2B9F8C3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2D3C98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다섯째, 실제 양 상표는 병존하여 사용되고 있으며, 이들의 사이에서 어떠한 출처의 혼동도 발생하지 않고 있습니다.</w:t>
      </w:r>
    </w:p>
    <w:p w14:paraId="31E6A02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799B6E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(2) 이들의 사항들을 고려하여 판례의 법리에 따라 본건 상표와 인용상표의 유사여부를 판단하면 아래와 같습니다.</w:t>
      </w:r>
    </w:p>
    <w:p w14:paraId="5F0B90FD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9C6338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첫째, 판례에 따르면, 아래의 상표들은 상호간에 유사하지 않습니다. 이것은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 xml:space="preserve">SEQ가 식별력이 없고, 또한 GADO가 식별력이 없음에 따라 이 부분을 제외한 다른 부분으로 수요자가 상표를 인식할 것이기 때문입니다. 즉 판례는 MGI 와 MI를 중심으로, 그리고, vision과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vist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>를 중심으로 양 상표를 비교하여 출처의 혼동이 없는 바 유사하지 않다는 결론에 이른 것입니다.</w:t>
      </w:r>
    </w:p>
    <w:p w14:paraId="23B3479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FCE3044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  <w:u w:val="single"/>
        </w:rPr>
        <w:t>특허법원 2022허4093 판결</w:t>
      </w:r>
    </w:p>
    <w:p w14:paraId="141E7453" w14:textId="2E5E2A18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4FA60F6" wp14:editId="528E0B8E">
            <wp:extent cx="1333500" cy="13335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54668E24" wp14:editId="3182FBB1">
            <wp:extent cx="1333500" cy="13335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62E6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  <w:u w:val="single"/>
        </w:rPr>
        <w:t>특허법원 2020허4020 판결</w:t>
      </w:r>
    </w:p>
    <w:p w14:paraId="061C0E17" w14:textId="2C8EC5A4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D67CD92" wp14:editId="5453C3E3">
            <wp:extent cx="1333500" cy="13335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124659B8" wp14:editId="27A2A662">
            <wp:extent cx="1333500" cy="13335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37A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마찬가지로, 본건 상표와 인용상표도 -CELL이 식별력이 없거나 미약함에 따라 "IRO-"와 "INNO-"를 중심으로 상표를 각각 인식하게 될 것입니다. 이러한 경우,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>"IRO-"와 "INNO-"는 충분히 구별되는 것으로서, 양 상표사이에서 출처의 혼동은 없습니다. 즉 "IRO-"와 "INNO-"는 호칭의 면에서 각각 '이로-'와 '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이노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-'로서 각각이 2음절로서 총4개의 자모로 이루어지는데, 이중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ㄴ과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ㄹ이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다른 것으로서 25%에 해당되는 부분이 다른 것으로서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다르고, 관념의 면에서 "IRO-"는 이롭다는 관념이 생성되거나 아무런 관념도 생성되지 않는 반면 "INNO-"는 Innovation의 약자로서 혁신의 관념이 생성되는 것으로서, 호칭을 들을 때 이로 인한 관념도 같이 생성되는 것으로서, 결국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청감도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다르면서 호칭을 들으면서 생성되는 관념도 다른 것으로서, 결국 호칭의 면에서도 양자는 충분히 구별되고, 이 둘 사이에서 출처의 혼동은 없다고 할 것입니다. 이점은 공과 곰이 단지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ㅇ과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ㅁ의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차이에 불과하지만 이 둘은 분명히 구별되는 것과 같은 이치라고 할 것입니다.</w:t>
      </w:r>
    </w:p>
    <w:p w14:paraId="4944334B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8709E6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둘째, 판례에 따르면 비록 호칭상 유사하더라도 외관이 너무 다르고, 관념이 없거나 서로 달라 출처의 혼동이 없는 경우는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하면서 아래 상표들은 유사하지 않다고 판단하였습니다.</w:t>
      </w:r>
    </w:p>
    <w:p w14:paraId="7379032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  <w:u w:val="single"/>
        </w:rPr>
      </w:pPr>
    </w:p>
    <w:p w14:paraId="047A91B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  <w:u w:val="single"/>
        </w:rPr>
      </w:pPr>
      <w:r w:rsidRPr="00E76EC2">
        <w:rPr>
          <w:rFonts w:ascii="바탕체" w:eastAsia="바탕체"/>
          <w:kern w:val="0"/>
          <w:sz w:val="24"/>
          <w:szCs w:val="24"/>
          <w:u w:val="single"/>
        </w:rPr>
        <w:t>2020허3720 특허법원 판례:</w:t>
      </w:r>
    </w:p>
    <w:p w14:paraId="6D34C2EA" w14:textId="7E3AEAD8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  <w:u w:val="single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FECAF1A" wp14:editId="678897F8">
            <wp:extent cx="1857375" cy="18573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26064852" wp14:editId="24A2041A">
            <wp:extent cx="1714500" cy="1714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7602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</w:p>
    <w:p w14:paraId="0A89ECE4" w14:textId="77777777" w:rsidR="00E76EC2" w:rsidRPr="00E76EC2" w:rsidRDefault="00E76EC2" w:rsidP="00E76E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  <w:u w:val="single"/>
        </w:rPr>
        <w:t>2020후10957 대법원 판례:</w:t>
      </w:r>
    </w:p>
    <w:p w14:paraId="6851A936" w14:textId="0C764273" w:rsidR="00E76EC2" w:rsidRPr="00E76EC2" w:rsidRDefault="00E76EC2" w:rsidP="00E76E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76E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A113D64" wp14:editId="3612DB5D">
            <wp:extent cx="1514475" cy="15144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C2">
        <w:rPr>
          <w:rFonts w:ascii="바탕체" w:eastAsia="바탕체" w:cs="바탕체"/>
          <w:kern w:val="0"/>
          <w:sz w:val="24"/>
          <w:szCs w:val="24"/>
        </w:rPr>
        <w:t xml:space="preserve">          </w:t>
      </w:r>
      <w:r w:rsidRPr="00E76E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626D09BB" wp14:editId="6C2FB155">
            <wp:extent cx="1609725" cy="16097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7A46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마찬가지로, 본건 상표와 인용상표는 외관상 너무 다르고, 관념이 서로 다른 것으로서 출처의 혼동을 생각할 수 없으며 (실제로도 양자는 병존하여 사용되고 있으며 양자의 사이에 출처의 혼동은 없습니다.) 양자는 유사하지 않다고 할 것입니다.</w:t>
      </w:r>
    </w:p>
    <w:p w14:paraId="5BC09A5B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6EE877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셋째, 판례에 따르면, 비록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유사해보인다고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하여도,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거래사회에서 수요자들이 구체적, 개별적으로는 상품의 출처에 관하여 오인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·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>혼동할 염려가 없을 경우,</w:t>
      </w:r>
      <w:r w:rsidRPr="00E76EC2">
        <w:rPr>
          <w:rFonts w:ascii="바탕체" w:eastAsia="바탕체"/>
          <w:kern w:val="0"/>
          <w:sz w:val="24"/>
          <w:szCs w:val="24"/>
        </w:rPr>
        <w:t xml:space="preserve"> 양 상표가 공존하더라도 당해 상표권자나 수요자 및 거래자들의 보호에 아무런 지장이 없으므로, 그러한 상표의 등록을 금지하거나 등록된 상표를 무효라고 할 수 </w:t>
      </w:r>
      <w:proofErr w:type="gramStart"/>
      <w:r w:rsidRPr="00E76EC2">
        <w:rPr>
          <w:rFonts w:ascii="바탕체" w:eastAsia="바탕체"/>
          <w:kern w:val="0"/>
          <w:sz w:val="24"/>
          <w:szCs w:val="24"/>
        </w:rPr>
        <w:t>없다( 대법원</w:t>
      </w:r>
      <w:proofErr w:type="gramEnd"/>
      <w:r w:rsidRPr="00E76EC2">
        <w:rPr>
          <w:rFonts w:ascii="바탕체" w:eastAsia="바탕체"/>
          <w:kern w:val="0"/>
          <w:sz w:val="24"/>
          <w:szCs w:val="24"/>
        </w:rPr>
        <w:t xml:space="preserve"> 1996. 9. 24. 선고 96후153, 96후191 판결, 2000. 1. 21. 선고 99후2532 판결 등 참조)』고 하고 있습니다. </w:t>
      </w:r>
    </w:p>
    <w:p w14:paraId="07D014D0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4BB1999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마찬가지로 본건 상표와 인용상표는 현실적으로 출처의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없이 병존(竝存)하여 사용되고 있는 것으로서, 인용상표로 인하여 본건 상표의 등록을 금할 이유가 없는 것입니다. 즉 본건 상표와 인용상표는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서로간에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할 것입니다. </w:t>
      </w:r>
    </w:p>
    <w:p w14:paraId="28D1D89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56F5381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(3) 이와 같이, 본건 상표와 인용상표는 거래실정을 중심으로 상표의 실상을 파악하였을 때 양 상표의 사이에서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출처혼동의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염려는 없다고 할 것으로서, 결국 </w:t>
      </w:r>
      <w:r w:rsidRPr="00E76EC2">
        <w:rPr>
          <w:rFonts w:ascii="바탕체" w:eastAsia="바탕체"/>
          <w:kern w:val="0"/>
          <w:sz w:val="24"/>
          <w:szCs w:val="24"/>
        </w:rPr>
        <w:lastRenderedPageBreak/>
        <w:t xml:space="preserve">양 상표는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6AE3413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B4AEF5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(4) 본건 거절이유는 호칭상 일견하여 유사해 보이는 면이 있어, 이를 염려한 것으로 사료됩니다. </w:t>
      </w:r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하지만, 수요자가 상표를 인식하는 방식은 단순히 호칭에만 있는 것이 아니며, 기본적으로 외관, 호칭, 관념이 총체적으로 작용하는 것이며 더불어 수요자의 주의력이 어느 정도인지도 </w:t>
      </w:r>
      <w:proofErr w:type="gramStart"/>
      <w:r w:rsidRPr="00E76EC2">
        <w:rPr>
          <w:rFonts w:ascii="바탕체" w:eastAsia="바탕체"/>
          <w:kern w:val="0"/>
          <w:sz w:val="24"/>
          <w:szCs w:val="24"/>
          <w:u w:val="single"/>
        </w:rPr>
        <w:t>문제시 되는</w:t>
      </w:r>
      <w:proofErr w:type="gramEnd"/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것이고, 나아가서, 구체적인 거래실정도 문제가 되는 것이라 할 것입니다. 이러한 모든 면을 전체적으로 아울러 양 상표의 실상을 파악하면 전술한 바와 같이 이들 두개의 상표는 거래상 혼동(출처의 혼동)되지 않을 것으로서 양 상표는 </w:t>
      </w:r>
      <w:proofErr w:type="spellStart"/>
      <w:r w:rsidRPr="00E76EC2">
        <w:rPr>
          <w:rFonts w:ascii="바탕체" w:eastAsia="바탕체"/>
          <w:kern w:val="0"/>
          <w:sz w:val="24"/>
          <w:szCs w:val="24"/>
          <w:u w:val="single"/>
        </w:rPr>
        <w:t>비유사하다고</w:t>
      </w:r>
      <w:proofErr w:type="spellEnd"/>
      <w:r w:rsidRPr="00E76EC2">
        <w:rPr>
          <w:rFonts w:ascii="바탕체" w:eastAsia="바탕체"/>
          <w:kern w:val="0"/>
          <w:sz w:val="24"/>
          <w:szCs w:val="24"/>
          <w:u w:val="single"/>
        </w:rPr>
        <w:t xml:space="preserve"> 할 것입니다.</w:t>
      </w:r>
    </w:p>
    <w:p w14:paraId="74CDCF1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68FE0A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6. 결론</w:t>
      </w:r>
    </w:p>
    <w:p w14:paraId="28A970CF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것입니다.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07597365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DAC9407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  <w:u w:val="single"/>
        </w:rPr>
        <w:lastRenderedPageBreak/>
        <w:t>첨부자료:</w:t>
      </w:r>
    </w:p>
    <w:p w14:paraId="30B79C12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1. (갑) 제1호증: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G11010에서 CELL을 포함하는 상표의 검색결과화면</w:t>
      </w:r>
    </w:p>
    <w:p w14:paraId="0EEB3BFA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 xml:space="preserve">2. (갑) 제2호증: </w:t>
      </w:r>
      <w:proofErr w:type="spellStart"/>
      <w:r w:rsidRPr="00E76EC2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76EC2">
        <w:rPr>
          <w:rFonts w:ascii="바탕체" w:eastAsia="바탕체"/>
          <w:kern w:val="0"/>
          <w:sz w:val="24"/>
          <w:szCs w:val="24"/>
        </w:rPr>
        <w:t xml:space="preserve"> G390602에서 CELL을 포함하는 상표의 검색결과화면</w:t>
      </w:r>
    </w:p>
    <w:p w14:paraId="7168ACB3" w14:textId="77777777" w:rsidR="00E76EC2" w:rsidRPr="00E76EC2" w:rsidRDefault="00E76EC2" w:rsidP="00E76E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76EC2">
        <w:rPr>
          <w:rFonts w:ascii="바탕체" w:eastAsia="바탕체"/>
          <w:kern w:val="0"/>
          <w:sz w:val="24"/>
          <w:szCs w:val="24"/>
        </w:rPr>
        <w:t>3. (갑) 제3호증: 특허법원 2022허4093 판결문</w:t>
      </w:r>
    </w:p>
    <w:p w14:paraId="3150A4C3" w14:textId="57B648C9" w:rsidR="000003F4" w:rsidRPr="00E76EC2" w:rsidRDefault="00E76EC2" w:rsidP="00E76EC2">
      <w:r w:rsidRPr="00E76EC2">
        <w:rPr>
          <w:rFonts w:ascii="바탕체" w:eastAsia="바탕체"/>
          <w:kern w:val="0"/>
          <w:sz w:val="24"/>
          <w:szCs w:val="24"/>
        </w:rPr>
        <w:t>4. (갑) 제4호증: 특허법원 2020허4020 판결문</w:t>
      </w:r>
    </w:p>
    <w:sectPr w:rsidR="000003F4" w:rsidRPr="00E76EC2">
      <w:footerReference w:type="default" r:id="rId2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4C9E" w14:textId="77777777" w:rsidR="00FC549D" w:rsidRDefault="00FC549D" w:rsidP="00FC549D">
      <w:pPr>
        <w:spacing w:after="0" w:line="240" w:lineRule="auto"/>
      </w:pPr>
      <w:r>
        <w:separator/>
      </w:r>
    </w:p>
  </w:endnote>
  <w:endnote w:type="continuationSeparator" w:id="0">
    <w:p w14:paraId="14207D90" w14:textId="77777777" w:rsidR="00FC549D" w:rsidRDefault="00FC549D" w:rsidP="00FC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517078"/>
      <w:docPartObj>
        <w:docPartGallery w:val="Page Numbers (Bottom of Page)"/>
        <w:docPartUnique/>
      </w:docPartObj>
    </w:sdtPr>
    <w:sdtContent>
      <w:p w14:paraId="6354617F" w14:textId="5CA2051B" w:rsidR="00FC549D" w:rsidRDefault="00FC54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2758C98" w14:textId="77777777" w:rsidR="00FC549D" w:rsidRDefault="00FC54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9D31" w14:textId="77777777" w:rsidR="00FC549D" w:rsidRDefault="00FC549D" w:rsidP="00FC549D">
      <w:pPr>
        <w:spacing w:after="0" w:line="240" w:lineRule="auto"/>
      </w:pPr>
      <w:r>
        <w:separator/>
      </w:r>
    </w:p>
  </w:footnote>
  <w:footnote w:type="continuationSeparator" w:id="0">
    <w:p w14:paraId="538566EC" w14:textId="77777777" w:rsidR="00FC549D" w:rsidRDefault="00FC549D" w:rsidP="00FC5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2"/>
    <w:rsid w:val="000003F4"/>
    <w:rsid w:val="00E76EC2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8E19"/>
  <w15:chartTrackingRefBased/>
  <w15:docId w15:val="{186AA6EC-1FAD-4058-A63A-857D981E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4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549D"/>
  </w:style>
  <w:style w:type="paragraph" w:styleId="a4">
    <w:name w:val="footer"/>
    <w:basedOn w:val="a"/>
    <w:link w:val="Char0"/>
    <w:uiPriority w:val="99"/>
    <w:unhideWhenUsed/>
    <w:rsid w:val="00FC54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2</cp:revision>
  <dcterms:created xsi:type="dcterms:W3CDTF">2025-06-23T12:11:00Z</dcterms:created>
  <dcterms:modified xsi:type="dcterms:W3CDTF">2025-06-24T11:36:00Z</dcterms:modified>
</cp:coreProperties>
</file>